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04E0" w:rsidRDefault="00394118" w:rsidP="00394118">
      <w:pPr>
        <w:jc w:val="center"/>
        <w:rPr>
          <w:b/>
          <w:sz w:val="24"/>
        </w:rPr>
      </w:pPr>
      <w:r w:rsidRPr="00394118">
        <w:rPr>
          <w:b/>
          <w:sz w:val="24"/>
        </w:rPr>
        <w:t>Monarch Modelling Parameters</w:t>
      </w:r>
    </w:p>
    <w:p w:rsidR="009865A9" w:rsidRPr="009865A9" w:rsidRDefault="009865A9" w:rsidP="009865A9">
      <w:pPr>
        <w:jc w:val="center"/>
        <w:rPr>
          <w:i/>
        </w:rPr>
      </w:pPr>
      <w:r w:rsidRPr="009865A9">
        <w:rPr>
          <w:i/>
        </w:rPr>
        <w:t>September 30, 2015</w:t>
      </w:r>
    </w:p>
    <w:p w:rsidR="00593388" w:rsidRDefault="00593388" w:rsidP="00593388">
      <w:r>
        <w:t xml:space="preserve">The model consists of individual simulated Monarchs moving around a GIS landscape </w:t>
      </w:r>
      <w:r w:rsidR="00EB1B0A">
        <w:t xml:space="preserve">and </w:t>
      </w:r>
      <w:r>
        <w:t xml:space="preserve">laying eggs.  Model inputs include the parameters and number of individual Monarchs.  Model output is total number of eggs laid </w:t>
      </w:r>
      <w:r w:rsidR="00EB1B0A">
        <w:t>(</w:t>
      </w:r>
      <w:r>
        <w:t xml:space="preserve">and </w:t>
      </w:r>
      <w:r w:rsidR="00EB1B0A">
        <w:t xml:space="preserve">I’m pretty sure the </w:t>
      </w:r>
      <w:r>
        <w:t>number of eggs laid per habitat type</w:t>
      </w:r>
      <w:r w:rsidR="00EB1B0A">
        <w:t>)</w:t>
      </w:r>
      <w:r>
        <w:t xml:space="preserve">.  </w:t>
      </w:r>
    </w:p>
    <w:p w:rsidR="00593388" w:rsidRPr="00593388" w:rsidRDefault="00593388" w:rsidP="00593388">
      <w:r w:rsidRPr="00593388">
        <w:t xml:space="preserve">Model has 3 major parts:  </w:t>
      </w:r>
      <w:r w:rsidRPr="00593388">
        <w:rPr>
          <w:i/>
        </w:rPr>
        <w:t>GIS landscape model</w:t>
      </w:r>
      <w:r w:rsidRPr="00593388">
        <w:t xml:space="preserve">, </w:t>
      </w:r>
      <w:r w:rsidRPr="00593388">
        <w:rPr>
          <w:i/>
        </w:rPr>
        <w:t>movement model</w:t>
      </w:r>
      <w:r w:rsidRPr="00593388">
        <w:t xml:space="preserve">, and </w:t>
      </w:r>
      <w:r w:rsidRPr="00593388">
        <w:rPr>
          <w:i/>
        </w:rPr>
        <w:t>egg-laying model</w:t>
      </w:r>
      <w:r>
        <w:rPr>
          <w:i/>
        </w:rPr>
        <w:t>.</w:t>
      </w:r>
    </w:p>
    <w:tbl>
      <w:tblPr>
        <w:tblStyle w:val="TableGrid"/>
        <w:tblW w:w="9535" w:type="dxa"/>
        <w:tblLook w:val="04A0" w:firstRow="1" w:lastRow="0" w:firstColumn="1" w:lastColumn="0" w:noHBand="0" w:noVBand="1"/>
      </w:tblPr>
      <w:tblGrid>
        <w:gridCol w:w="3116"/>
        <w:gridCol w:w="2099"/>
        <w:gridCol w:w="4320"/>
      </w:tblGrid>
      <w:tr w:rsidR="00394118" w:rsidTr="004F4226">
        <w:tc>
          <w:tcPr>
            <w:tcW w:w="3116" w:type="dxa"/>
          </w:tcPr>
          <w:p w:rsidR="00394118" w:rsidRDefault="00163C9F" w:rsidP="00163C9F">
            <w:pPr>
              <w:jc w:val="center"/>
            </w:pPr>
            <w:r w:rsidRPr="00394118">
              <w:rPr>
                <w:b/>
              </w:rPr>
              <w:t>Parameter</w:t>
            </w:r>
          </w:p>
        </w:tc>
        <w:tc>
          <w:tcPr>
            <w:tcW w:w="2099" w:type="dxa"/>
          </w:tcPr>
          <w:p w:rsidR="00394118" w:rsidRDefault="00163C9F" w:rsidP="00163C9F">
            <w:pPr>
              <w:jc w:val="center"/>
            </w:pPr>
            <w:r w:rsidRPr="00394118">
              <w:rPr>
                <w:b/>
              </w:rPr>
              <w:t>Values</w:t>
            </w:r>
          </w:p>
        </w:tc>
        <w:tc>
          <w:tcPr>
            <w:tcW w:w="4320" w:type="dxa"/>
          </w:tcPr>
          <w:p w:rsidR="00394118" w:rsidRDefault="00163C9F" w:rsidP="00163C9F">
            <w:pPr>
              <w:jc w:val="center"/>
            </w:pPr>
            <w:r>
              <w:rPr>
                <w:b/>
              </w:rPr>
              <w:t>Sources</w:t>
            </w:r>
          </w:p>
        </w:tc>
      </w:tr>
      <w:tr w:rsidR="00163C9F" w:rsidRPr="00163C9F" w:rsidTr="004F4226">
        <w:tc>
          <w:tcPr>
            <w:tcW w:w="9535" w:type="dxa"/>
            <w:gridSpan w:val="3"/>
          </w:tcPr>
          <w:p w:rsidR="00163C9F" w:rsidRPr="00163C9F" w:rsidRDefault="00163C9F" w:rsidP="00163C9F">
            <w:pPr>
              <w:rPr>
                <w:i/>
              </w:rPr>
            </w:pPr>
            <w:r w:rsidRPr="00163C9F">
              <w:rPr>
                <w:i/>
              </w:rPr>
              <w:t xml:space="preserve">Movement </w:t>
            </w:r>
            <w:r w:rsidR="00593388">
              <w:rPr>
                <w:i/>
              </w:rPr>
              <w:t xml:space="preserve">Model </w:t>
            </w:r>
            <w:r w:rsidRPr="00163C9F">
              <w:rPr>
                <w:i/>
              </w:rPr>
              <w:t>Parameters</w:t>
            </w:r>
          </w:p>
        </w:tc>
      </w:tr>
      <w:tr w:rsidR="00163C9F" w:rsidTr="004F4226">
        <w:tc>
          <w:tcPr>
            <w:tcW w:w="3116" w:type="dxa"/>
          </w:tcPr>
          <w:p w:rsidR="00163C9F" w:rsidRDefault="00163C9F" w:rsidP="00163C9F">
            <w:r>
              <w:t>Perception Distance</w:t>
            </w:r>
          </w:p>
        </w:tc>
        <w:tc>
          <w:tcPr>
            <w:tcW w:w="2099" w:type="dxa"/>
          </w:tcPr>
          <w:p w:rsidR="00163C9F" w:rsidRDefault="00163C9F" w:rsidP="00163C9F">
            <w:r>
              <w:t>5 to 25 m</w:t>
            </w:r>
          </w:p>
        </w:tc>
        <w:tc>
          <w:tcPr>
            <w:tcW w:w="4320" w:type="dxa"/>
          </w:tcPr>
          <w:p w:rsidR="00163C9F" w:rsidRDefault="00163C9F" w:rsidP="00163C9F">
            <w:r>
              <w:t>Zalucki and Kitching (1982b)</w:t>
            </w:r>
          </w:p>
        </w:tc>
      </w:tr>
      <w:tr w:rsidR="00163C9F" w:rsidTr="004F4226">
        <w:tc>
          <w:tcPr>
            <w:tcW w:w="3116" w:type="dxa"/>
          </w:tcPr>
          <w:p w:rsidR="00163C9F" w:rsidRDefault="00163C9F" w:rsidP="00163C9F">
            <w:r>
              <w:t>Field of View</w:t>
            </w:r>
          </w:p>
        </w:tc>
        <w:tc>
          <w:tcPr>
            <w:tcW w:w="2099" w:type="dxa"/>
          </w:tcPr>
          <w:p w:rsidR="00163C9F" w:rsidRDefault="00163C9F" w:rsidP="00163C9F">
            <w:r>
              <w:t>±30° to ±120°</w:t>
            </w:r>
          </w:p>
        </w:tc>
        <w:tc>
          <w:tcPr>
            <w:tcW w:w="4320" w:type="dxa"/>
          </w:tcPr>
          <w:p w:rsidR="00163C9F" w:rsidRDefault="00163C9F" w:rsidP="00163C9F">
            <w:r>
              <w:t>n/a</w:t>
            </w:r>
          </w:p>
        </w:tc>
      </w:tr>
      <w:tr w:rsidR="00163C9F" w:rsidTr="004F4226">
        <w:tc>
          <w:tcPr>
            <w:tcW w:w="3116" w:type="dxa"/>
          </w:tcPr>
          <w:p w:rsidR="00163C9F" w:rsidRDefault="00163C9F" w:rsidP="00163C9F">
            <w:r>
              <w:t>Directionality</w:t>
            </w:r>
          </w:p>
        </w:tc>
        <w:tc>
          <w:tcPr>
            <w:tcW w:w="2099" w:type="dxa"/>
          </w:tcPr>
          <w:p w:rsidR="00163C9F" w:rsidRDefault="00163C9F" w:rsidP="00163C9F">
            <w:r>
              <w:t xml:space="preserve">0.2 to 0.8 </w:t>
            </w:r>
          </w:p>
        </w:tc>
        <w:tc>
          <w:tcPr>
            <w:tcW w:w="4320" w:type="dxa"/>
          </w:tcPr>
          <w:p w:rsidR="00163C9F" w:rsidRDefault="00163C9F" w:rsidP="00163C9F">
            <w:r>
              <w:t>Zalucki and Kitching (1982b)</w:t>
            </w:r>
          </w:p>
        </w:tc>
      </w:tr>
      <w:tr w:rsidR="00163C9F" w:rsidTr="004F4226">
        <w:tc>
          <w:tcPr>
            <w:tcW w:w="3116" w:type="dxa"/>
          </w:tcPr>
          <w:p w:rsidR="00163C9F" w:rsidRDefault="00163C9F" w:rsidP="00163C9F">
            <w:r>
              <w:t>Step Length</w:t>
            </w:r>
          </w:p>
        </w:tc>
        <w:tc>
          <w:tcPr>
            <w:tcW w:w="2099" w:type="dxa"/>
          </w:tcPr>
          <w:p w:rsidR="00163C9F" w:rsidRDefault="00163C9F" w:rsidP="00163C9F">
            <w:r>
              <w:t>50 m to 125 m</w:t>
            </w:r>
          </w:p>
        </w:tc>
        <w:tc>
          <w:tcPr>
            <w:tcW w:w="4320" w:type="dxa"/>
          </w:tcPr>
          <w:p w:rsidR="00163C9F" w:rsidRDefault="00163C9F" w:rsidP="00163C9F">
            <w:r>
              <w:t>n/a</w:t>
            </w:r>
          </w:p>
        </w:tc>
      </w:tr>
      <w:tr w:rsidR="00163C9F" w:rsidTr="004F4226">
        <w:tc>
          <w:tcPr>
            <w:tcW w:w="3116" w:type="dxa"/>
          </w:tcPr>
          <w:p w:rsidR="00163C9F" w:rsidRDefault="00163C9F" w:rsidP="00163C9F">
            <w:r>
              <w:t>Daily distance max</w:t>
            </w:r>
          </w:p>
        </w:tc>
        <w:tc>
          <w:tcPr>
            <w:tcW w:w="2099" w:type="dxa"/>
          </w:tcPr>
          <w:p w:rsidR="00163C9F" w:rsidRDefault="00163C9F" w:rsidP="00163C9F">
            <w:r>
              <w:t>15,000 m</w:t>
            </w:r>
          </w:p>
        </w:tc>
        <w:tc>
          <w:tcPr>
            <w:tcW w:w="4320" w:type="dxa"/>
          </w:tcPr>
          <w:p w:rsidR="00163C9F" w:rsidRDefault="00163C9F" w:rsidP="00163C9F">
            <w:r>
              <w:t>Zalucki and Kitching (1985)</w:t>
            </w:r>
            <w:r w:rsidR="00AA617F">
              <w:t xml:space="preserve"> (correct year is 1984)</w:t>
            </w:r>
          </w:p>
        </w:tc>
      </w:tr>
      <w:tr w:rsidR="00AA617F" w:rsidTr="004F4226">
        <w:tc>
          <w:tcPr>
            <w:tcW w:w="9535" w:type="dxa"/>
            <w:gridSpan w:val="3"/>
          </w:tcPr>
          <w:p w:rsidR="00AA617F" w:rsidRPr="00AA617F" w:rsidRDefault="00593388" w:rsidP="00593388">
            <w:pPr>
              <w:rPr>
                <w:i/>
              </w:rPr>
            </w:pPr>
            <w:r>
              <w:rPr>
                <w:i/>
              </w:rPr>
              <w:t xml:space="preserve">Egg-laying Model </w:t>
            </w:r>
            <w:r w:rsidR="00AA617F" w:rsidRPr="00AA617F">
              <w:rPr>
                <w:i/>
              </w:rPr>
              <w:t>Parameters</w:t>
            </w:r>
          </w:p>
        </w:tc>
      </w:tr>
      <w:tr w:rsidR="00163C9F" w:rsidTr="004F4226">
        <w:tc>
          <w:tcPr>
            <w:tcW w:w="3116" w:type="dxa"/>
          </w:tcPr>
          <w:p w:rsidR="00163C9F" w:rsidRDefault="00AA617F" w:rsidP="00163C9F">
            <w:r>
              <w:t>Max eggs laid per day</w:t>
            </w:r>
          </w:p>
        </w:tc>
        <w:tc>
          <w:tcPr>
            <w:tcW w:w="2099" w:type="dxa"/>
          </w:tcPr>
          <w:p w:rsidR="00163C9F" w:rsidRDefault="00AA617F" w:rsidP="00163C9F">
            <w:r>
              <w:t>100</w:t>
            </w:r>
          </w:p>
        </w:tc>
        <w:tc>
          <w:tcPr>
            <w:tcW w:w="4320" w:type="dxa"/>
          </w:tcPr>
          <w:p w:rsidR="00163C9F" w:rsidRDefault="00AA617F" w:rsidP="00163C9F">
            <w:r>
              <w:t>Based on 14-day lifespan with 1400 total eggs (Zalucki 1981)</w:t>
            </w:r>
          </w:p>
        </w:tc>
      </w:tr>
      <w:tr w:rsidR="00163C9F" w:rsidTr="004F4226">
        <w:tc>
          <w:tcPr>
            <w:tcW w:w="3116" w:type="dxa"/>
          </w:tcPr>
          <w:p w:rsidR="00163C9F" w:rsidRDefault="00593388" w:rsidP="00163C9F">
            <w:r>
              <w:t xml:space="preserve">Adult </w:t>
            </w:r>
            <w:r w:rsidR="00AA617F">
              <w:t>Lifespan</w:t>
            </w:r>
          </w:p>
        </w:tc>
        <w:tc>
          <w:tcPr>
            <w:tcW w:w="2099" w:type="dxa"/>
          </w:tcPr>
          <w:p w:rsidR="00163C9F" w:rsidRDefault="00AA617F" w:rsidP="00163C9F">
            <w:r>
              <w:t>14 days</w:t>
            </w:r>
          </w:p>
        </w:tc>
        <w:tc>
          <w:tcPr>
            <w:tcW w:w="4320" w:type="dxa"/>
          </w:tcPr>
          <w:p w:rsidR="00163C9F" w:rsidRDefault="00AA617F" w:rsidP="00163C9F">
            <w:r>
              <w:t>Zalucki (1981), Zalucki et al. (1986)</w:t>
            </w:r>
          </w:p>
        </w:tc>
      </w:tr>
      <w:tr w:rsidR="00163C9F" w:rsidTr="004F4226">
        <w:tc>
          <w:tcPr>
            <w:tcW w:w="3116" w:type="dxa"/>
          </w:tcPr>
          <w:p w:rsidR="00163C9F" w:rsidRDefault="00743F9F" w:rsidP="00163C9F">
            <w:r>
              <w:t>Egg-laying rate</w:t>
            </w:r>
          </w:p>
        </w:tc>
        <w:tc>
          <w:tcPr>
            <w:tcW w:w="2099" w:type="dxa"/>
          </w:tcPr>
          <w:p w:rsidR="00163C9F" w:rsidRDefault="00743F9F" w:rsidP="00163C9F">
            <w:r>
              <w:t>1 egg per 2.5 m</w:t>
            </w:r>
          </w:p>
        </w:tc>
        <w:tc>
          <w:tcPr>
            <w:tcW w:w="4320" w:type="dxa"/>
          </w:tcPr>
          <w:p w:rsidR="00163C9F" w:rsidRDefault="00421FEE" w:rsidP="00163C9F">
            <w:r>
              <w:t>Zalucki and Kitching (1982a,b)</w:t>
            </w:r>
            <w:r w:rsidR="002F4123">
              <w:t xml:space="preserve"> – 25 plants assumed to occur per 2.5 m, and 1 egg per 25 plants = 1 egg per 2.5 m</w:t>
            </w:r>
            <w:r w:rsidR="00C85068">
              <w:t xml:space="preserve">  -&gt;  20 eggs in a 50m step</w:t>
            </w:r>
            <w:r w:rsidR="0015730B">
              <w:t>, 50 eggs in a 125m step</w:t>
            </w:r>
          </w:p>
        </w:tc>
      </w:tr>
      <w:tr w:rsidR="00942CCE" w:rsidTr="004F4226">
        <w:tc>
          <w:tcPr>
            <w:tcW w:w="9535" w:type="dxa"/>
            <w:gridSpan w:val="3"/>
          </w:tcPr>
          <w:p w:rsidR="00942CCE" w:rsidRPr="00942CCE" w:rsidRDefault="00593388" w:rsidP="00593388">
            <w:pPr>
              <w:rPr>
                <w:i/>
              </w:rPr>
            </w:pPr>
            <w:r>
              <w:rPr>
                <w:i/>
              </w:rPr>
              <w:t xml:space="preserve">GIS </w:t>
            </w:r>
            <w:r w:rsidR="00942CCE" w:rsidRPr="00942CCE">
              <w:rPr>
                <w:i/>
              </w:rPr>
              <w:t xml:space="preserve">Landscape </w:t>
            </w:r>
            <w:r>
              <w:rPr>
                <w:i/>
              </w:rPr>
              <w:t>Model</w:t>
            </w:r>
            <w:r w:rsidR="00942CCE" w:rsidRPr="00942CCE">
              <w:rPr>
                <w:i/>
              </w:rPr>
              <w:t xml:space="preserve"> Parameters</w:t>
            </w:r>
          </w:p>
        </w:tc>
      </w:tr>
      <w:tr w:rsidR="00163C9F" w:rsidTr="004F4226">
        <w:tc>
          <w:tcPr>
            <w:tcW w:w="3116" w:type="dxa"/>
          </w:tcPr>
          <w:p w:rsidR="00163C9F" w:rsidRDefault="00132363" w:rsidP="00163C9F">
            <w:r>
              <w:t>Preference Value</w:t>
            </w:r>
          </w:p>
        </w:tc>
        <w:tc>
          <w:tcPr>
            <w:tcW w:w="2099" w:type="dxa"/>
          </w:tcPr>
          <w:p w:rsidR="00163C9F" w:rsidRDefault="00132363" w:rsidP="00163C9F">
            <w:r>
              <w:t>0-1</w:t>
            </w:r>
            <w:r w:rsidR="00797051">
              <w:t xml:space="preserve"> (or 0.1-1)</w:t>
            </w:r>
          </w:p>
        </w:tc>
        <w:tc>
          <w:tcPr>
            <w:tcW w:w="4320" w:type="dxa"/>
          </w:tcPr>
          <w:p w:rsidR="00163C9F" w:rsidRDefault="004F4226" w:rsidP="00163C9F">
            <w:r>
              <w:t>Model</w:t>
            </w:r>
            <w:r w:rsidR="00A13323">
              <w:t xml:space="preserve"> compares preference value of current habitat patch to nearby habitat patch to calculate probability of leaving current patch</w:t>
            </w:r>
          </w:p>
        </w:tc>
      </w:tr>
    </w:tbl>
    <w:p w:rsidR="00394118" w:rsidRDefault="00394118"/>
    <w:p w:rsidR="00593388" w:rsidRPr="00797051" w:rsidRDefault="00593388" w:rsidP="00797051">
      <w:pPr>
        <w:jc w:val="center"/>
        <w:rPr>
          <w:b/>
        </w:rPr>
      </w:pPr>
      <w:r w:rsidRPr="00797051">
        <w:rPr>
          <w:b/>
        </w:rPr>
        <w:t>GIS Landscape Habitat Categories</w:t>
      </w:r>
    </w:p>
    <w:tbl>
      <w:tblPr>
        <w:tblStyle w:val="TableGrid"/>
        <w:tblW w:w="0" w:type="auto"/>
        <w:jc w:val="center"/>
        <w:tblLook w:val="04A0" w:firstRow="1" w:lastRow="0" w:firstColumn="1" w:lastColumn="0" w:noHBand="0" w:noVBand="1"/>
      </w:tblPr>
      <w:tblGrid>
        <w:gridCol w:w="4031"/>
        <w:gridCol w:w="3117"/>
      </w:tblGrid>
      <w:tr w:rsidR="00593388" w:rsidRPr="00593388" w:rsidTr="00134D15">
        <w:trPr>
          <w:jc w:val="center"/>
        </w:trPr>
        <w:tc>
          <w:tcPr>
            <w:tcW w:w="4031" w:type="dxa"/>
          </w:tcPr>
          <w:p w:rsidR="00593388" w:rsidRPr="00593388" w:rsidRDefault="00593388" w:rsidP="002C56B7">
            <w:pPr>
              <w:jc w:val="center"/>
              <w:rPr>
                <w:b/>
              </w:rPr>
            </w:pPr>
            <w:r w:rsidRPr="00593388">
              <w:rPr>
                <w:b/>
              </w:rPr>
              <w:t>Habitat Type</w:t>
            </w:r>
          </w:p>
        </w:tc>
        <w:tc>
          <w:tcPr>
            <w:tcW w:w="3117" w:type="dxa"/>
          </w:tcPr>
          <w:p w:rsidR="00593388" w:rsidRPr="00593388" w:rsidRDefault="00593388" w:rsidP="002C56B7">
            <w:pPr>
              <w:jc w:val="center"/>
              <w:rPr>
                <w:b/>
              </w:rPr>
            </w:pPr>
            <w:r w:rsidRPr="00593388">
              <w:rPr>
                <w:b/>
              </w:rPr>
              <w:t>Preference Value</w:t>
            </w:r>
          </w:p>
        </w:tc>
      </w:tr>
      <w:tr w:rsidR="00593388" w:rsidTr="00134D15">
        <w:trPr>
          <w:jc w:val="center"/>
        </w:trPr>
        <w:tc>
          <w:tcPr>
            <w:tcW w:w="4031" w:type="dxa"/>
          </w:tcPr>
          <w:p w:rsidR="00593388" w:rsidRDefault="00593388" w:rsidP="009A4503">
            <w:r>
              <w:t>Glyphosate Corn</w:t>
            </w:r>
            <w:r w:rsidR="002C56B7">
              <w:t xml:space="preserve"> (88%)</w:t>
            </w:r>
          </w:p>
        </w:tc>
        <w:tc>
          <w:tcPr>
            <w:tcW w:w="3117" w:type="dxa"/>
          </w:tcPr>
          <w:p w:rsidR="00593388" w:rsidRDefault="002C56B7" w:rsidP="002C56B7">
            <w:pPr>
              <w:jc w:val="center"/>
            </w:pPr>
            <w:r>
              <w:t>?</w:t>
            </w:r>
          </w:p>
        </w:tc>
      </w:tr>
      <w:tr w:rsidR="00593388" w:rsidTr="00134D15">
        <w:trPr>
          <w:jc w:val="center"/>
        </w:trPr>
        <w:tc>
          <w:tcPr>
            <w:tcW w:w="4031" w:type="dxa"/>
          </w:tcPr>
          <w:p w:rsidR="00593388" w:rsidRDefault="00593388" w:rsidP="009A4503">
            <w:r>
              <w:t>Non-Glyphosate Corn</w:t>
            </w:r>
            <w:r w:rsidR="002C56B7">
              <w:t xml:space="preserve"> (12%)</w:t>
            </w:r>
          </w:p>
        </w:tc>
        <w:tc>
          <w:tcPr>
            <w:tcW w:w="3117" w:type="dxa"/>
          </w:tcPr>
          <w:p w:rsidR="00593388" w:rsidRDefault="00593388" w:rsidP="002C56B7">
            <w:pPr>
              <w:jc w:val="center"/>
            </w:pPr>
          </w:p>
        </w:tc>
      </w:tr>
      <w:tr w:rsidR="00593388" w:rsidTr="00134D15">
        <w:trPr>
          <w:jc w:val="center"/>
        </w:trPr>
        <w:tc>
          <w:tcPr>
            <w:tcW w:w="4031" w:type="dxa"/>
          </w:tcPr>
          <w:p w:rsidR="00593388" w:rsidRDefault="00593388" w:rsidP="009A4503">
            <w:r>
              <w:t>Glyphosate Soybean (96%)</w:t>
            </w:r>
          </w:p>
        </w:tc>
        <w:tc>
          <w:tcPr>
            <w:tcW w:w="3117" w:type="dxa"/>
          </w:tcPr>
          <w:p w:rsidR="00593388" w:rsidRDefault="00593388" w:rsidP="002C56B7">
            <w:pPr>
              <w:jc w:val="center"/>
            </w:pPr>
          </w:p>
        </w:tc>
      </w:tr>
      <w:tr w:rsidR="00593388" w:rsidTr="00134D15">
        <w:trPr>
          <w:jc w:val="center"/>
        </w:trPr>
        <w:tc>
          <w:tcPr>
            <w:tcW w:w="4031" w:type="dxa"/>
          </w:tcPr>
          <w:p w:rsidR="00593388" w:rsidRDefault="00593388" w:rsidP="009A4503">
            <w:r>
              <w:t>Non-Glyphosate Soybean (4%)</w:t>
            </w:r>
          </w:p>
        </w:tc>
        <w:tc>
          <w:tcPr>
            <w:tcW w:w="3117" w:type="dxa"/>
          </w:tcPr>
          <w:p w:rsidR="00593388" w:rsidRDefault="00593388" w:rsidP="002C56B7">
            <w:pPr>
              <w:jc w:val="center"/>
            </w:pPr>
          </w:p>
        </w:tc>
      </w:tr>
      <w:tr w:rsidR="002C56B7" w:rsidTr="00134D15">
        <w:trPr>
          <w:jc w:val="center"/>
        </w:trPr>
        <w:tc>
          <w:tcPr>
            <w:tcW w:w="4031" w:type="dxa"/>
          </w:tcPr>
          <w:p w:rsidR="002C56B7" w:rsidRDefault="002C56B7" w:rsidP="009A4503">
            <w:r>
              <w:t>Forest</w:t>
            </w:r>
          </w:p>
        </w:tc>
        <w:tc>
          <w:tcPr>
            <w:tcW w:w="3117" w:type="dxa"/>
          </w:tcPr>
          <w:p w:rsidR="002C56B7" w:rsidRDefault="002C56B7" w:rsidP="002C56B7">
            <w:pPr>
              <w:jc w:val="center"/>
            </w:pPr>
          </w:p>
        </w:tc>
      </w:tr>
      <w:tr w:rsidR="00593388" w:rsidTr="00134D15">
        <w:trPr>
          <w:jc w:val="center"/>
        </w:trPr>
        <w:tc>
          <w:tcPr>
            <w:tcW w:w="4031" w:type="dxa"/>
          </w:tcPr>
          <w:p w:rsidR="00593388" w:rsidRDefault="002C56B7" w:rsidP="009A4503">
            <w:r>
              <w:t>Road ROW MW=0 (16%)</w:t>
            </w:r>
          </w:p>
        </w:tc>
        <w:tc>
          <w:tcPr>
            <w:tcW w:w="3117" w:type="dxa"/>
          </w:tcPr>
          <w:p w:rsidR="00593388" w:rsidRDefault="00593388" w:rsidP="002C56B7">
            <w:pPr>
              <w:jc w:val="center"/>
            </w:pPr>
          </w:p>
        </w:tc>
      </w:tr>
      <w:tr w:rsidR="00593388" w:rsidTr="00134D15">
        <w:trPr>
          <w:jc w:val="center"/>
        </w:trPr>
        <w:tc>
          <w:tcPr>
            <w:tcW w:w="4031" w:type="dxa"/>
          </w:tcPr>
          <w:p w:rsidR="00593388" w:rsidRDefault="002C56B7" w:rsidP="009A4503">
            <w:r>
              <w:t>Road ROW MW=1-40 sq m (72%)</w:t>
            </w:r>
          </w:p>
        </w:tc>
        <w:tc>
          <w:tcPr>
            <w:tcW w:w="3117" w:type="dxa"/>
          </w:tcPr>
          <w:p w:rsidR="00593388" w:rsidRDefault="00593388" w:rsidP="002C56B7">
            <w:pPr>
              <w:jc w:val="center"/>
            </w:pPr>
          </w:p>
        </w:tc>
      </w:tr>
      <w:tr w:rsidR="00593388" w:rsidTr="00134D15">
        <w:trPr>
          <w:jc w:val="center"/>
        </w:trPr>
        <w:tc>
          <w:tcPr>
            <w:tcW w:w="4031" w:type="dxa"/>
          </w:tcPr>
          <w:p w:rsidR="00593388" w:rsidRDefault="002C56B7" w:rsidP="009A4503">
            <w:r>
              <w:t>Road ROW MW=41-100 sq m (13%)</w:t>
            </w:r>
          </w:p>
        </w:tc>
        <w:tc>
          <w:tcPr>
            <w:tcW w:w="3117" w:type="dxa"/>
          </w:tcPr>
          <w:p w:rsidR="00593388" w:rsidRDefault="00593388" w:rsidP="002C56B7">
            <w:pPr>
              <w:jc w:val="center"/>
            </w:pPr>
          </w:p>
        </w:tc>
      </w:tr>
      <w:tr w:rsidR="002C56B7" w:rsidTr="00134D15">
        <w:trPr>
          <w:jc w:val="center"/>
        </w:trPr>
        <w:tc>
          <w:tcPr>
            <w:tcW w:w="4031" w:type="dxa"/>
          </w:tcPr>
          <w:p w:rsidR="002C56B7" w:rsidRDefault="002C56B7" w:rsidP="009A4503">
            <w:r>
              <w:t>Railroad ROW</w:t>
            </w:r>
          </w:p>
        </w:tc>
        <w:tc>
          <w:tcPr>
            <w:tcW w:w="3117" w:type="dxa"/>
          </w:tcPr>
          <w:p w:rsidR="002C56B7" w:rsidRDefault="002C56B7" w:rsidP="002C56B7">
            <w:pPr>
              <w:jc w:val="center"/>
            </w:pPr>
          </w:p>
        </w:tc>
      </w:tr>
      <w:tr w:rsidR="002C56B7" w:rsidTr="00134D15">
        <w:trPr>
          <w:jc w:val="center"/>
        </w:trPr>
        <w:tc>
          <w:tcPr>
            <w:tcW w:w="4031" w:type="dxa"/>
          </w:tcPr>
          <w:p w:rsidR="002C56B7" w:rsidRDefault="002C56B7" w:rsidP="009A4503">
            <w:r>
              <w:t>Med/High Intensity Development</w:t>
            </w:r>
          </w:p>
        </w:tc>
        <w:tc>
          <w:tcPr>
            <w:tcW w:w="3117" w:type="dxa"/>
          </w:tcPr>
          <w:p w:rsidR="002C56B7" w:rsidRDefault="002C56B7" w:rsidP="002C56B7">
            <w:pPr>
              <w:jc w:val="center"/>
            </w:pPr>
            <w:r>
              <w:t>0</w:t>
            </w:r>
          </w:p>
        </w:tc>
      </w:tr>
      <w:tr w:rsidR="002C56B7" w:rsidTr="00134D15">
        <w:trPr>
          <w:jc w:val="center"/>
        </w:trPr>
        <w:tc>
          <w:tcPr>
            <w:tcW w:w="4031" w:type="dxa"/>
          </w:tcPr>
          <w:p w:rsidR="002C56B7" w:rsidRDefault="002C56B7" w:rsidP="002C56B7">
            <w:r>
              <w:t>Low Intensity/Open Space Dev URBAN</w:t>
            </w:r>
          </w:p>
        </w:tc>
        <w:tc>
          <w:tcPr>
            <w:tcW w:w="3117" w:type="dxa"/>
          </w:tcPr>
          <w:p w:rsidR="002C56B7" w:rsidRDefault="002C56B7" w:rsidP="002C56B7">
            <w:pPr>
              <w:jc w:val="center"/>
            </w:pPr>
          </w:p>
        </w:tc>
      </w:tr>
      <w:tr w:rsidR="002C56B7" w:rsidTr="00134D15">
        <w:trPr>
          <w:jc w:val="center"/>
        </w:trPr>
        <w:tc>
          <w:tcPr>
            <w:tcW w:w="4031" w:type="dxa"/>
          </w:tcPr>
          <w:p w:rsidR="002C56B7" w:rsidRDefault="002C56B7" w:rsidP="009A4503">
            <w:r>
              <w:t>Low Intensity/Open Space Dev EXURBAN</w:t>
            </w:r>
          </w:p>
        </w:tc>
        <w:tc>
          <w:tcPr>
            <w:tcW w:w="3117" w:type="dxa"/>
          </w:tcPr>
          <w:p w:rsidR="002C56B7" w:rsidRDefault="002C56B7" w:rsidP="002C56B7">
            <w:pPr>
              <w:jc w:val="center"/>
            </w:pPr>
          </w:p>
        </w:tc>
      </w:tr>
      <w:tr w:rsidR="002C56B7" w:rsidTr="00134D15">
        <w:trPr>
          <w:jc w:val="center"/>
        </w:trPr>
        <w:tc>
          <w:tcPr>
            <w:tcW w:w="4031" w:type="dxa"/>
          </w:tcPr>
          <w:p w:rsidR="002C56B7" w:rsidRDefault="002C56B7" w:rsidP="009A4503">
            <w:r>
              <w:t>Water/Barren/Other</w:t>
            </w:r>
          </w:p>
        </w:tc>
        <w:tc>
          <w:tcPr>
            <w:tcW w:w="3117" w:type="dxa"/>
          </w:tcPr>
          <w:p w:rsidR="002C56B7" w:rsidRDefault="002C56B7" w:rsidP="002C56B7">
            <w:pPr>
              <w:jc w:val="center"/>
            </w:pPr>
          </w:p>
        </w:tc>
      </w:tr>
      <w:tr w:rsidR="002C56B7" w:rsidTr="00134D15">
        <w:trPr>
          <w:jc w:val="center"/>
        </w:trPr>
        <w:tc>
          <w:tcPr>
            <w:tcW w:w="4031" w:type="dxa"/>
          </w:tcPr>
          <w:p w:rsidR="002C56B7" w:rsidRDefault="002C56B7" w:rsidP="009A4503">
            <w:r>
              <w:lastRenderedPageBreak/>
              <w:t>Grass/Pasture</w:t>
            </w:r>
          </w:p>
        </w:tc>
        <w:tc>
          <w:tcPr>
            <w:tcW w:w="3117" w:type="dxa"/>
          </w:tcPr>
          <w:p w:rsidR="002C56B7" w:rsidRDefault="002C56B7" w:rsidP="002C56B7">
            <w:pPr>
              <w:jc w:val="center"/>
            </w:pPr>
          </w:p>
        </w:tc>
      </w:tr>
      <w:tr w:rsidR="002C56B7" w:rsidTr="00134D15">
        <w:trPr>
          <w:jc w:val="center"/>
        </w:trPr>
        <w:tc>
          <w:tcPr>
            <w:tcW w:w="4031" w:type="dxa"/>
          </w:tcPr>
          <w:p w:rsidR="002C56B7" w:rsidRDefault="002C56B7" w:rsidP="009A4503">
            <w:r>
              <w:t>Grass/Pasture PADUS</w:t>
            </w:r>
          </w:p>
        </w:tc>
        <w:tc>
          <w:tcPr>
            <w:tcW w:w="3117" w:type="dxa"/>
          </w:tcPr>
          <w:p w:rsidR="002C56B7" w:rsidRDefault="002C56B7" w:rsidP="002C56B7">
            <w:pPr>
              <w:jc w:val="center"/>
            </w:pPr>
          </w:p>
        </w:tc>
      </w:tr>
      <w:tr w:rsidR="002C56B7" w:rsidTr="00134D15">
        <w:trPr>
          <w:jc w:val="center"/>
        </w:trPr>
        <w:tc>
          <w:tcPr>
            <w:tcW w:w="4031" w:type="dxa"/>
          </w:tcPr>
          <w:p w:rsidR="002C56B7" w:rsidRDefault="002C56B7" w:rsidP="009A4503">
            <w:r>
              <w:t>Wetlands</w:t>
            </w:r>
          </w:p>
        </w:tc>
        <w:tc>
          <w:tcPr>
            <w:tcW w:w="3117" w:type="dxa"/>
          </w:tcPr>
          <w:p w:rsidR="002C56B7" w:rsidRDefault="002C56B7" w:rsidP="002C56B7">
            <w:pPr>
              <w:jc w:val="center"/>
            </w:pPr>
          </w:p>
        </w:tc>
      </w:tr>
      <w:tr w:rsidR="002C56B7" w:rsidTr="00134D15">
        <w:trPr>
          <w:jc w:val="center"/>
        </w:trPr>
        <w:tc>
          <w:tcPr>
            <w:tcW w:w="4031" w:type="dxa"/>
          </w:tcPr>
          <w:p w:rsidR="002C56B7" w:rsidRDefault="002C56B7" w:rsidP="009A4503">
            <w:r>
              <w:t>Riparian Buffers/other NRS TBD</w:t>
            </w:r>
          </w:p>
        </w:tc>
        <w:tc>
          <w:tcPr>
            <w:tcW w:w="3117" w:type="dxa"/>
          </w:tcPr>
          <w:p w:rsidR="002C56B7" w:rsidRDefault="002C56B7" w:rsidP="002C56B7">
            <w:pPr>
              <w:jc w:val="center"/>
            </w:pPr>
          </w:p>
        </w:tc>
      </w:tr>
      <w:tr w:rsidR="002C56B7" w:rsidTr="00134D15">
        <w:trPr>
          <w:jc w:val="center"/>
        </w:trPr>
        <w:tc>
          <w:tcPr>
            <w:tcW w:w="4031" w:type="dxa"/>
          </w:tcPr>
          <w:p w:rsidR="002C56B7" w:rsidRDefault="002C56B7" w:rsidP="009A4503">
            <w:r>
              <w:t>Bioreactors</w:t>
            </w:r>
          </w:p>
        </w:tc>
        <w:tc>
          <w:tcPr>
            <w:tcW w:w="3117" w:type="dxa"/>
          </w:tcPr>
          <w:p w:rsidR="002C56B7" w:rsidRDefault="002C56B7" w:rsidP="002C56B7">
            <w:pPr>
              <w:jc w:val="center"/>
            </w:pPr>
          </w:p>
        </w:tc>
      </w:tr>
      <w:tr w:rsidR="002C56B7" w:rsidTr="00134D15">
        <w:trPr>
          <w:jc w:val="center"/>
        </w:trPr>
        <w:tc>
          <w:tcPr>
            <w:tcW w:w="4031" w:type="dxa"/>
          </w:tcPr>
          <w:p w:rsidR="002C56B7" w:rsidRDefault="002C56B7" w:rsidP="009A4503">
            <w:r>
              <w:t>Utility ROW</w:t>
            </w:r>
          </w:p>
        </w:tc>
        <w:tc>
          <w:tcPr>
            <w:tcW w:w="3117" w:type="dxa"/>
          </w:tcPr>
          <w:p w:rsidR="002C56B7" w:rsidRDefault="002C56B7" w:rsidP="002C56B7">
            <w:pPr>
              <w:jc w:val="center"/>
            </w:pPr>
          </w:p>
        </w:tc>
      </w:tr>
      <w:tr w:rsidR="002C56B7" w:rsidTr="00134D15">
        <w:trPr>
          <w:jc w:val="center"/>
        </w:trPr>
        <w:tc>
          <w:tcPr>
            <w:tcW w:w="4031" w:type="dxa"/>
          </w:tcPr>
          <w:p w:rsidR="002C56B7" w:rsidRDefault="002C56B7" w:rsidP="009A4503">
            <w:r>
              <w:t>CRP (subcategories TBD)</w:t>
            </w:r>
          </w:p>
        </w:tc>
        <w:tc>
          <w:tcPr>
            <w:tcW w:w="3117" w:type="dxa"/>
          </w:tcPr>
          <w:p w:rsidR="002C56B7" w:rsidRDefault="002C56B7" w:rsidP="002C56B7">
            <w:pPr>
              <w:jc w:val="center"/>
            </w:pPr>
          </w:p>
        </w:tc>
      </w:tr>
    </w:tbl>
    <w:p w:rsidR="00593388" w:rsidRDefault="00593388" w:rsidP="009A4503"/>
    <w:p w:rsidR="009A4503" w:rsidRDefault="001D4BEA" w:rsidP="009A4503">
      <w:r>
        <w:t>E</w:t>
      </w:r>
      <w:r w:rsidR="009A4503">
        <w:t xml:space="preserve">ach </w:t>
      </w:r>
      <w:r>
        <w:t>category needs</w:t>
      </w:r>
      <w:r w:rsidR="009A4503">
        <w:t xml:space="preserve"> a preference value</w:t>
      </w:r>
      <w:r w:rsidR="00440F93">
        <w:t xml:space="preserve"> – think of this in terms of the probability it will leave the current habitat for another type of habitat</w:t>
      </w:r>
      <w:r>
        <w:t>.</w:t>
      </w:r>
    </w:p>
    <w:p w:rsidR="00F21D22" w:rsidRDefault="00AA230B" w:rsidP="00F21D22">
      <w:pPr>
        <w:ind w:left="720"/>
      </w:pPr>
      <w:r>
        <w:t xml:space="preserve">Probability of leaving current patch = preference value of new patch/(preference value new patch + preference value of current patch) = </w:t>
      </w:r>
      <m:oMath>
        <m:r>
          <w:rPr>
            <w:rFonts w:ascii="Cambria Math" w:hAnsi="Cambria Math"/>
          </w:rPr>
          <m:t>P</m:t>
        </m:r>
        <m:d>
          <m:dPr>
            <m:ctrlPr>
              <w:rPr>
                <w:rFonts w:ascii="Cambria Math" w:hAnsi="Cambria Math"/>
                <w:i/>
              </w:rPr>
            </m:ctrlPr>
          </m:dPr>
          <m:e>
            <m:r>
              <w:rPr>
                <w:rFonts w:ascii="Cambria Math" w:hAnsi="Cambria Math"/>
              </w:rPr>
              <m:t>leave</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Pref</m:t>
                </m:r>
              </m:e>
              <m:sub>
                <m:r>
                  <w:rPr>
                    <w:rFonts w:ascii="Cambria Math" w:hAnsi="Cambria Math"/>
                  </w:rPr>
                  <m:t>B</m:t>
                </m:r>
              </m:sub>
            </m:sSub>
          </m:num>
          <m:den>
            <m:sSub>
              <m:sSubPr>
                <m:ctrlPr>
                  <w:rPr>
                    <w:rFonts w:ascii="Cambria Math" w:hAnsi="Cambria Math"/>
                    <w:i/>
                  </w:rPr>
                </m:ctrlPr>
              </m:sSubPr>
              <m:e>
                <m:r>
                  <w:rPr>
                    <w:rFonts w:ascii="Cambria Math" w:hAnsi="Cambria Math"/>
                  </w:rPr>
                  <m:t>Pref</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Pref</m:t>
                </m:r>
              </m:e>
              <m:sub>
                <m:r>
                  <w:rPr>
                    <w:rFonts w:ascii="Cambria Math" w:hAnsi="Cambria Math"/>
                  </w:rPr>
                  <m:t>A</m:t>
                </m:r>
              </m:sub>
            </m:sSub>
          </m:den>
        </m:f>
      </m:oMath>
    </w:p>
    <w:p w:rsidR="00163C9F" w:rsidRDefault="00F21D22" w:rsidP="00F21D22">
      <w:r>
        <w:t>D</w:t>
      </w:r>
      <w:r w:rsidR="002F4123">
        <w:t xml:space="preserve">istance moved per day </w:t>
      </w:r>
      <w:r>
        <w:t xml:space="preserve">declines </w:t>
      </w:r>
      <w:r w:rsidR="002F4123">
        <w:t>over time</w:t>
      </w:r>
      <w:r>
        <w:t xml:space="preserve"> according to</w:t>
      </w:r>
      <w:r w:rsidR="002F4123">
        <w:t xml:space="preserve">:  </w:t>
      </w:r>
      <w:r w:rsidR="00D50FBC">
        <w:t>Dist = -</w:t>
      </w:r>
      <w:r w:rsidR="00C008FC">
        <w:t>1076t +</w:t>
      </w:r>
      <w:r w:rsidR="00D50FBC">
        <w:t xml:space="preserve"> 16077</w:t>
      </w:r>
    </w:p>
    <w:p w:rsidR="00196308" w:rsidRDefault="00196308" w:rsidP="00196308">
      <w:pPr>
        <w:ind w:left="720"/>
      </w:pPr>
      <w:r>
        <w:t>This means that the monarch moves 15,000 m the first day, ~14000 m the next day, and so on, losing ~1000</w:t>
      </w:r>
      <w:r w:rsidR="0050418B">
        <w:t xml:space="preserve"> </w:t>
      </w:r>
      <w:r>
        <w:t>m per day, until it travels only 1000</w:t>
      </w:r>
      <w:r w:rsidR="00F21D22">
        <w:t xml:space="preserve"> </w:t>
      </w:r>
      <w:r>
        <w:t>m on the 14</w:t>
      </w:r>
      <w:r w:rsidRPr="00196308">
        <w:rPr>
          <w:vertAlign w:val="superscript"/>
        </w:rPr>
        <w:t>th</w:t>
      </w:r>
      <w:r>
        <w:t xml:space="preserve"> and final day of its short life.  </w:t>
      </w:r>
    </w:p>
    <w:p w:rsidR="009A4503" w:rsidRDefault="009A4503">
      <w:r w:rsidRPr="009A4503">
        <w:t>Correlated Random Walk</w:t>
      </w:r>
      <w:r w:rsidR="00F35B5E">
        <w:t xml:space="preserve"> – correlated with current direction by randomly choosing a change in direction for the current heading</w:t>
      </w:r>
      <w:r w:rsidR="003A11B4">
        <w:t xml:space="preserve"> – apparently a new heading is calculated for each step</w:t>
      </w:r>
    </w:p>
    <w:p w:rsidR="007F7944" w:rsidRDefault="007F7944" w:rsidP="0050418B">
      <w:pPr>
        <w:ind w:left="720"/>
      </w:pPr>
      <w:r>
        <w:t xml:space="preserve">The change in heading is calculated in radians as:  </w:t>
      </w:r>
      <m:oMath>
        <m:r>
          <w:rPr>
            <w:rFonts w:ascii="Cambria Math" w:hAnsi="Cambria Math"/>
          </w:rPr>
          <m:t>θ=±πR(1-D)</m:t>
        </m:r>
      </m:oMath>
      <w:r>
        <w:rPr>
          <w:rFonts w:eastAsiaTheme="minorEastAsia"/>
        </w:rPr>
        <w:t xml:space="preserve"> where D is directionality and R is a random number between 0 and 1.  </w:t>
      </w:r>
    </w:p>
    <w:p w:rsidR="00F35B5E" w:rsidRDefault="00F35B5E" w:rsidP="00196308">
      <w:pPr>
        <w:ind w:left="720"/>
      </w:pPr>
      <w:r>
        <w:t xml:space="preserve">A directionality of 0.2 </w:t>
      </w:r>
      <w:r w:rsidR="003A11B4">
        <w:t xml:space="preserve">(low directionality) </w:t>
      </w:r>
      <w:r>
        <w:t xml:space="preserve">means </w:t>
      </w:r>
      <w:r w:rsidR="003A11B4">
        <w:t xml:space="preserve">at each step the heading can change from 0 to 144 degrees </w:t>
      </w:r>
      <w:r w:rsidR="00196308">
        <w:t xml:space="preserve">right or left with any value in that range being equally likely (uniformly distributed).  </w:t>
      </w:r>
    </w:p>
    <w:p w:rsidR="003A11B4" w:rsidRPr="009A4503" w:rsidRDefault="003A11B4" w:rsidP="00196308">
      <w:pPr>
        <w:ind w:left="720"/>
      </w:pPr>
      <w:r>
        <w:t xml:space="preserve">A directionality of 0.8 (high directionality) means at each step the heading can change from 0 to 36 degrees </w:t>
      </w:r>
      <w:r w:rsidR="00196308">
        <w:t xml:space="preserve">right or left with any value in that range being equally likely (uniformly distributed).  </w:t>
      </w:r>
    </w:p>
    <w:p w:rsidR="009A4503" w:rsidRDefault="009A4503">
      <w:pPr>
        <w:rPr>
          <w:b/>
        </w:rPr>
      </w:pPr>
    </w:p>
    <w:p w:rsidR="009A4503" w:rsidRDefault="009A4503">
      <w:pPr>
        <w:rPr>
          <w:b/>
        </w:rPr>
      </w:pPr>
    </w:p>
    <w:p w:rsidR="009A4503" w:rsidRDefault="009A4503">
      <w:pPr>
        <w:rPr>
          <w:b/>
        </w:rPr>
      </w:pPr>
    </w:p>
    <w:p w:rsidR="009A4503" w:rsidRDefault="009A4503">
      <w:pPr>
        <w:rPr>
          <w:b/>
        </w:rPr>
      </w:pPr>
      <w:r>
        <w:rPr>
          <w:noProof/>
        </w:rPr>
        <w:lastRenderedPageBreak/>
        <w:drawing>
          <wp:inline distT="0" distB="0" distL="0" distR="0" wp14:anchorId="34C1DB24" wp14:editId="0C00C920">
            <wp:extent cx="5783962" cy="447675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6956" t="3309" r="20091" b="4779"/>
                    <a:stretch/>
                  </pic:blipFill>
                  <pic:spPr bwMode="auto">
                    <a:xfrm>
                      <a:off x="0" y="0"/>
                      <a:ext cx="5798534" cy="4488029"/>
                    </a:xfrm>
                    <a:prstGeom prst="rect">
                      <a:avLst/>
                    </a:prstGeom>
                    <a:ln>
                      <a:noFill/>
                    </a:ln>
                    <a:extLst>
                      <a:ext uri="{53640926-AAD7-44D8-BBD7-CCE9431645EC}">
                        <a14:shadowObscured xmlns:a14="http://schemas.microsoft.com/office/drawing/2010/main"/>
                      </a:ext>
                    </a:extLst>
                  </pic:spPr>
                </pic:pic>
              </a:graphicData>
            </a:graphic>
          </wp:inline>
        </w:drawing>
      </w:r>
    </w:p>
    <w:p w:rsidR="00163C9F" w:rsidRPr="00163C9F" w:rsidRDefault="00163C9F">
      <w:pPr>
        <w:rPr>
          <w:b/>
        </w:rPr>
      </w:pPr>
      <w:r w:rsidRPr="00163C9F">
        <w:rPr>
          <w:b/>
        </w:rPr>
        <w:t>Sources</w:t>
      </w:r>
    </w:p>
    <w:p w:rsidR="00AA617F" w:rsidRDefault="00AA617F">
      <w:r w:rsidRPr="00AA617F">
        <w:t>Zalucki, M. P. (1981). The effects of age and weather on egg laying in</w:t>
      </w:r>
      <w:r w:rsidR="00942CCE">
        <w:t xml:space="preserve"> </w:t>
      </w:r>
      <w:r w:rsidRPr="00AA617F">
        <w:t>Danaus plexippus L.(Lepidoptera: Danaidae). Researches on Population Ecology, 23(2), 318-327.</w:t>
      </w:r>
    </w:p>
    <w:p w:rsidR="00942CCE" w:rsidRDefault="00942CCE" w:rsidP="00942CCE">
      <w:r>
        <w:t>Zalucki, M. P., &amp; Kitching, R. L. (1982a). Dynamics of oviposition in Danaus plexippus (Insecta: Lepidoptera) on milkweed, Asclepias spp. Journal of Zoology, 198(1), 103-116.</w:t>
      </w:r>
    </w:p>
    <w:p w:rsidR="00163C9F" w:rsidRDefault="00163C9F">
      <w:r w:rsidRPr="00163C9F">
        <w:t>Zalucki, M. P., &amp; Kitching, R. L. (1982</w:t>
      </w:r>
      <w:r w:rsidR="00421FEE">
        <w:t>b</w:t>
      </w:r>
      <w:r w:rsidRPr="00163C9F">
        <w:t>). The analysis and description of movement in adult Danaus plexippus L.(Lepidoptera: Danainae). Behaviour, 80(3), 174-197.</w:t>
      </w:r>
    </w:p>
    <w:p w:rsidR="00163C9F" w:rsidRDefault="00163C9F">
      <w:r w:rsidRPr="00163C9F">
        <w:t>Zalucki, M. P., &amp; Kitching, R. L. (1985). The dynamics of adult Danaus plexippus L. around patches of its host plant Asclepias spp. J. Lepid. Soc, 38, 209-19</w:t>
      </w:r>
      <w:r w:rsidRPr="00132363">
        <w:t>.</w:t>
      </w:r>
      <w:r w:rsidR="00AA617F" w:rsidRPr="00132363">
        <w:t xml:space="preserve"> (</w:t>
      </w:r>
      <w:r w:rsidR="00AA617F" w:rsidRPr="00132363">
        <w:rPr>
          <w:b/>
          <w:i/>
        </w:rPr>
        <w:t>correct year is 1984</w:t>
      </w:r>
      <w:r w:rsidR="00AA617F" w:rsidRPr="00132363">
        <w:t>)</w:t>
      </w:r>
    </w:p>
    <w:p w:rsidR="00743F9F" w:rsidRDefault="00743F9F">
      <w:r w:rsidRPr="00743F9F">
        <w:t>Zalucki, M. P., Daglish, G., Firempong, S., &amp; Twine, P. (1986). The biology and ecology of Heliothis-armigera (Hubner) and Heliothis-Punctigera Wallengren (Lepidoptera, Noctuidae) in Australia-what do we know. Australian Journal of Zoology, 34(6), 779-814.</w:t>
      </w:r>
      <w:r>
        <w:t xml:space="preserve"> (</w:t>
      </w:r>
      <w:r w:rsidRPr="00132363">
        <w:rPr>
          <w:b/>
          <w:i/>
        </w:rPr>
        <w:t>Zalucki et al. 2015 list different authors, were they thinking of a different paper?  Author list matches Zalucki et al. 1994 paper on the same species</w:t>
      </w:r>
      <w:r w:rsidRPr="00132363">
        <w:t>)</w:t>
      </w:r>
    </w:p>
    <w:p w:rsidR="00893DFC" w:rsidRDefault="00893DFC">
      <w:r>
        <w:br w:type="page"/>
      </w:r>
    </w:p>
    <w:p w:rsidR="00EB1B0A" w:rsidRPr="00893DFC" w:rsidRDefault="00893DFC" w:rsidP="00893DFC">
      <w:pPr>
        <w:jc w:val="center"/>
        <w:rPr>
          <w:b/>
        </w:rPr>
      </w:pPr>
      <w:r w:rsidRPr="00893DFC">
        <w:rPr>
          <w:b/>
        </w:rPr>
        <w:lastRenderedPageBreak/>
        <w:t>Model Issues or Potential Improvements</w:t>
      </w:r>
    </w:p>
    <w:p w:rsidR="00893DFC" w:rsidRDefault="00893DFC" w:rsidP="00893DFC">
      <w:pPr>
        <w:jc w:val="center"/>
      </w:pPr>
      <w:r>
        <w:t>9/30/2015</w:t>
      </w:r>
    </w:p>
    <w:p w:rsidR="00541704" w:rsidRDefault="007A5C0A" w:rsidP="007A5C0A">
      <w:pPr>
        <w:pStyle w:val="ListParagraph"/>
        <w:numPr>
          <w:ilvl w:val="0"/>
          <w:numId w:val="4"/>
        </w:numPr>
      </w:pPr>
      <w:r>
        <w:t xml:space="preserve">Probability of laying eggs and </w:t>
      </w:r>
      <w:r w:rsidR="00541704">
        <w:t xml:space="preserve">the </w:t>
      </w:r>
      <w:r>
        <w:t xml:space="preserve">preference value </w:t>
      </w:r>
      <w:r w:rsidR="00432F32">
        <w:t xml:space="preserve">for </w:t>
      </w:r>
      <w:r w:rsidR="00541704">
        <w:t xml:space="preserve">movement between </w:t>
      </w:r>
      <w:r w:rsidR="00432F32">
        <w:t>habitat</w:t>
      </w:r>
      <w:r w:rsidR="00541704">
        <w:t>s</w:t>
      </w:r>
      <w:r w:rsidR="00432F32">
        <w:t xml:space="preserve"> appear to be</w:t>
      </w:r>
      <w:r>
        <w:t xml:space="preserve"> confounded.  </w:t>
      </w:r>
    </w:p>
    <w:p w:rsidR="007A5C0A" w:rsidRDefault="008C61B0" w:rsidP="007A5C0A">
      <w:pPr>
        <w:pStyle w:val="ListParagraph"/>
        <w:numPr>
          <w:ilvl w:val="0"/>
          <w:numId w:val="4"/>
        </w:numPr>
      </w:pPr>
      <w:r>
        <w:t>According to Table 2 in the paper, “matrix” habitat had a preference value of 0 or 0.01, but then how does the Monarch ever choose to move into the matrix?</w:t>
      </w:r>
      <w:bookmarkStart w:id="0" w:name="_GoBack"/>
      <w:bookmarkEnd w:id="0"/>
    </w:p>
    <w:p w:rsidR="00893DFC" w:rsidRDefault="007A5C0A" w:rsidP="007A5C0A">
      <w:pPr>
        <w:pStyle w:val="ListParagraph"/>
        <w:numPr>
          <w:ilvl w:val="0"/>
          <w:numId w:val="4"/>
        </w:numPr>
      </w:pPr>
      <w:r>
        <w:t xml:space="preserve">Perception is composed of 2 parts, visual and olfactory.  Olfactory perception distance may be much greater than visual perception distance.  </w:t>
      </w:r>
    </w:p>
    <w:p w:rsidR="007A5C0A" w:rsidRDefault="007A5C0A" w:rsidP="007A5C0A">
      <w:pPr>
        <w:pStyle w:val="ListParagraph"/>
        <w:numPr>
          <w:ilvl w:val="0"/>
          <w:numId w:val="4"/>
        </w:numPr>
      </w:pPr>
      <w:r>
        <w:t>Experiments could be devised to test some of the movement parameters, e.g., releasing Monarchs at some distance from a milkweed patch and observing direction of flight</w:t>
      </w:r>
    </w:p>
    <w:p w:rsidR="007A5C0A" w:rsidRDefault="007A5C0A" w:rsidP="007A5C0A">
      <w:pPr>
        <w:pStyle w:val="ListParagraph"/>
        <w:numPr>
          <w:ilvl w:val="0"/>
          <w:numId w:val="4"/>
        </w:numPr>
      </w:pPr>
      <w:r>
        <w:t>Some insight on movement parameters could be derived from Tori’s data, though it was not specifically designed to measure these parameters</w:t>
      </w:r>
    </w:p>
    <w:p w:rsidR="007A5C0A" w:rsidRDefault="007A5C0A" w:rsidP="007A5C0A">
      <w:pPr>
        <w:pStyle w:val="ListParagraph"/>
        <w:numPr>
          <w:ilvl w:val="0"/>
          <w:numId w:val="4"/>
        </w:numPr>
      </w:pPr>
      <w:r>
        <w:t xml:space="preserve">Royce and Teresa egg/milkweed data can be used to determine preference values for ROW MW.  </w:t>
      </w:r>
    </w:p>
    <w:p w:rsidR="007A5C0A" w:rsidRDefault="007A5C0A" w:rsidP="007A5C0A">
      <w:pPr>
        <w:pStyle w:val="ListParagraph"/>
        <w:numPr>
          <w:ilvl w:val="0"/>
          <w:numId w:val="4"/>
        </w:numPr>
      </w:pPr>
      <w:r>
        <w:t>Egg-laying rate could be potentially less than 20 eggs per 50 m (1 egg per 2.5 m) because they instinctually lay a few eggs and move on</w:t>
      </w:r>
    </w:p>
    <w:p w:rsidR="007A5C0A" w:rsidRDefault="007A5C0A" w:rsidP="007A5C0A">
      <w:pPr>
        <w:pStyle w:val="ListParagraph"/>
        <w:numPr>
          <w:ilvl w:val="0"/>
          <w:numId w:val="4"/>
        </w:numPr>
      </w:pPr>
      <w:r>
        <w:t>The best way to simulate CRP if we can’</w:t>
      </w:r>
      <w:r w:rsidR="00432F32">
        <w:t xml:space="preserve">t get any help on spatial arrangement </w:t>
      </w:r>
      <w:r>
        <w:t xml:space="preserve">would be to take low quality farmland (low NCCPI) and add in the known acres of CRP in worst farmland first.  </w:t>
      </w:r>
      <w:r w:rsidR="00432F32">
        <w:t xml:space="preserve">CRP will not be randomly distributed in the county.  </w:t>
      </w:r>
    </w:p>
    <w:p w:rsidR="00432F32" w:rsidRDefault="00432F32" w:rsidP="007A5C0A">
      <w:pPr>
        <w:pStyle w:val="ListParagraph"/>
        <w:numPr>
          <w:ilvl w:val="0"/>
          <w:numId w:val="4"/>
        </w:numPr>
      </w:pPr>
      <w:r>
        <w:t xml:space="preserve">When I asked Hazel Parry (the modeler in Australia) what she thought needed to be improved in the model, she said that the behavior of the butterfly when it decides to stay in a current patch could use some work.  The paper says it searches 180 degrees when it returns to a patch or stays in a patch.  I would think it would just basically bounce off the patch it didn’t like at the same angle it approached it.  </w:t>
      </w:r>
    </w:p>
    <w:p w:rsidR="00432F32" w:rsidRDefault="00432F32" w:rsidP="007A5C0A">
      <w:pPr>
        <w:pStyle w:val="ListParagraph"/>
        <w:numPr>
          <w:ilvl w:val="0"/>
          <w:numId w:val="4"/>
        </w:numPr>
      </w:pPr>
      <w:r>
        <w:t xml:space="preserve">Railroad ROW have some excellent habitat in some places and it might be worth surveying those.  </w:t>
      </w:r>
    </w:p>
    <w:p w:rsidR="00432F32" w:rsidRDefault="00432F32" w:rsidP="007A5C0A">
      <w:pPr>
        <w:pStyle w:val="ListParagraph"/>
        <w:numPr>
          <w:ilvl w:val="0"/>
          <w:numId w:val="4"/>
        </w:numPr>
      </w:pPr>
      <w:r>
        <w:t xml:space="preserve">We could put a distribution on parameters instead of a single number if we thought it varied.  For example, number of eggs per day could follow a normal distribution where it starts low, peaks, then drops again.  </w:t>
      </w:r>
    </w:p>
    <w:p w:rsidR="00D02412" w:rsidRDefault="00D02412" w:rsidP="007A5C0A">
      <w:pPr>
        <w:pStyle w:val="ListParagraph"/>
        <w:numPr>
          <w:ilvl w:val="0"/>
          <w:numId w:val="4"/>
        </w:numPr>
      </w:pPr>
      <w:r>
        <w:t xml:space="preserve">Habitat preference values could vary across the season because of nectar sources or other reasons.  </w:t>
      </w:r>
    </w:p>
    <w:p w:rsidR="005A4E48" w:rsidRDefault="005A4E48" w:rsidP="007A5C0A">
      <w:pPr>
        <w:pStyle w:val="ListParagraph"/>
        <w:numPr>
          <w:ilvl w:val="0"/>
          <w:numId w:val="4"/>
        </w:numPr>
      </w:pPr>
      <w:r>
        <w:t xml:space="preserve">Distance moved per day declines rather drastically by the last day, may need adjustment.  </w:t>
      </w:r>
    </w:p>
    <w:p w:rsidR="00893DFC" w:rsidRDefault="00893DFC"/>
    <w:p w:rsidR="00893DFC" w:rsidRDefault="00893DFC"/>
    <w:sectPr w:rsidR="00893D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4F7D" w:rsidRDefault="00154F7D" w:rsidP="00094429">
      <w:pPr>
        <w:spacing w:after="0" w:line="240" w:lineRule="auto"/>
      </w:pPr>
      <w:r>
        <w:separator/>
      </w:r>
    </w:p>
  </w:endnote>
  <w:endnote w:type="continuationSeparator" w:id="0">
    <w:p w:rsidR="00154F7D" w:rsidRDefault="00154F7D" w:rsidP="000944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4F7D" w:rsidRDefault="00154F7D" w:rsidP="00094429">
      <w:pPr>
        <w:spacing w:after="0" w:line="240" w:lineRule="auto"/>
      </w:pPr>
      <w:r>
        <w:separator/>
      </w:r>
    </w:p>
  </w:footnote>
  <w:footnote w:type="continuationSeparator" w:id="0">
    <w:p w:rsidR="00154F7D" w:rsidRDefault="00154F7D" w:rsidP="000944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D914BF"/>
    <w:multiLevelType w:val="hybridMultilevel"/>
    <w:tmpl w:val="9A0C2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03CC7"/>
    <w:multiLevelType w:val="hybridMultilevel"/>
    <w:tmpl w:val="3288E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C70BB1"/>
    <w:multiLevelType w:val="hybridMultilevel"/>
    <w:tmpl w:val="E28CB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3D3B11"/>
    <w:multiLevelType w:val="hybridMultilevel"/>
    <w:tmpl w:val="9A0C2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118"/>
    <w:rsid w:val="00011269"/>
    <w:rsid w:val="0001262D"/>
    <w:rsid w:val="00017E9C"/>
    <w:rsid w:val="00020780"/>
    <w:rsid w:val="0002624C"/>
    <w:rsid w:val="0009228E"/>
    <w:rsid w:val="00094429"/>
    <w:rsid w:val="00112249"/>
    <w:rsid w:val="00132363"/>
    <w:rsid w:val="00134D15"/>
    <w:rsid w:val="001516B3"/>
    <w:rsid w:val="00154F7D"/>
    <w:rsid w:val="0015730B"/>
    <w:rsid w:val="00163C9F"/>
    <w:rsid w:val="00196308"/>
    <w:rsid w:val="001D4BEA"/>
    <w:rsid w:val="002A3E13"/>
    <w:rsid w:val="002C56B7"/>
    <w:rsid w:val="002F4123"/>
    <w:rsid w:val="003253BC"/>
    <w:rsid w:val="00382CF3"/>
    <w:rsid w:val="00394118"/>
    <w:rsid w:val="003A11B4"/>
    <w:rsid w:val="003E14AC"/>
    <w:rsid w:val="00421FEE"/>
    <w:rsid w:val="00432F32"/>
    <w:rsid w:val="00440F93"/>
    <w:rsid w:val="00455402"/>
    <w:rsid w:val="004A4141"/>
    <w:rsid w:val="004B540B"/>
    <w:rsid w:val="004C6501"/>
    <w:rsid w:val="004F4226"/>
    <w:rsid w:val="0050418B"/>
    <w:rsid w:val="00541704"/>
    <w:rsid w:val="005704E0"/>
    <w:rsid w:val="00577A8E"/>
    <w:rsid w:val="00593388"/>
    <w:rsid w:val="005A4E48"/>
    <w:rsid w:val="0066101E"/>
    <w:rsid w:val="006848DA"/>
    <w:rsid w:val="006C7729"/>
    <w:rsid w:val="006E25DA"/>
    <w:rsid w:val="006E724B"/>
    <w:rsid w:val="006F1674"/>
    <w:rsid w:val="0073587D"/>
    <w:rsid w:val="00743F9F"/>
    <w:rsid w:val="00773C73"/>
    <w:rsid w:val="0078523B"/>
    <w:rsid w:val="00797051"/>
    <w:rsid w:val="007A4854"/>
    <w:rsid w:val="007A5C0A"/>
    <w:rsid w:val="007D2764"/>
    <w:rsid w:val="007F7944"/>
    <w:rsid w:val="008642D8"/>
    <w:rsid w:val="008648B9"/>
    <w:rsid w:val="00864E7C"/>
    <w:rsid w:val="00883E88"/>
    <w:rsid w:val="00893DFC"/>
    <w:rsid w:val="008C61B0"/>
    <w:rsid w:val="008D69E4"/>
    <w:rsid w:val="009018DD"/>
    <w:rsid w:val="00942CCE"/>
    <w:rsid w:val="0097302F"/>
    <w:rsid w:val="009865A9"/>
    <w:rsid w:val="009A4503"/>
    <w:rsid w:val="009E52FC"/>
    <w:rsid w:val="009F5F12"/>
    <w:rsid w:val="00A13323"/>
    <w:rsid w:val="00A16A47"/>
    <w:rsid w:val="00A42162"/>
    <w:rsid w:val="00AA230B"/>
    <w:rsid w:val="00AA617F"/>
    <w:rsid w:val="00AC1D06"/>
    <w:rsid w:val="00AF2888"/>
    <w:rsid w:val="00B00A52"/>
    <w:rsid w:val="00B74E04"/>
    <w:rsid w:val="00BC43E4"/>
    <w:rsid w:val="00BD545A"/>
    <w:rsid w:val="00BF0B13"/>
    <w:rsid w:val="00C008FC"/>
    <w:rsid w:val="00C85068"/>
    <w:rsid w:val="00CB381B"/>
    <w:rsid w:val="00CD73E3"/>
    <w:rsid w:val="00CE2D68"/>
    <w:rsid w:val="00CE3568"/>
    <w:rsid w:val="00D02412"/>
    <w:rsid w:val="00D35B49"/>
    <w:rsid w:val="00D50FBC"/>
    <w:rsid w:val="00D56629"/>
    <w:rsid w:val="00D60020"/>
    <w:rsid w:val="00DA6F51"/>
    <w:rsid w:val="00DB3C01"/>
    <w:rsid w:val="00DE344C"/>
    <w:rsid w:val="00E006D8"/>
    <w:rsid w:val="00E043F7"/>
    <w:rsid w:val="00E073BA"/>
    <w:rsid w:val="00E11C77"/>
    <w:rsid w:val="00E165AE"/>
    <w:rsid w:val="00E53FA4"/>
    <w:rsid w:val="00EB1B0A"/>
    <w:rsid w:val="00EC6760"/>
    <w:rsid w:val="00F10AEF"/>
    <w:rsid w:val="00F21D22"/>
    <w:rsid w:val="00F35B5E"/>
    <w:rsid w:val="00F374FE"/>
    <w:rsid w:val="00F67FC4"/>
    <w:rsid w:val="00FE27FE"/>
    <w:rsid w:val="00FF6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DEA65C-80C6-47BA-919C-F0F276487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4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A230B"/>
    <w:rPr>
      <w:color w:val="808080"/>
    </w:rPr>
  </w:style>
  <w:style w:type="paragraph" w:styleId="ListParagraph">
    <w:name w:val="List Paragraph"/>
    <w:basedOn w:val="Normal"/>
    <w:uiPriority w:val="34"/>
    <w:qFormat/>
    <w:rsid w:val="00F67FC4"/>
    <w:pPr>
      <w:ind w:left="720"/>
      <w:contextualSpacing/>
    </w:pPr>
  </w:style>
  <w:style w:type="paragraph" w:styleId="Header">
    <w:name w:val="header"/>
    <w:basedOn w:val="Normal"/>
    <w:link w:val="HeaderChar"/>
    <w:uiPriority w:val="99"/>
    <w:unhideWhenUsed/>
    <w:rsid w:val="000944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429"/>
  </w:style>
  <w:style w:type="paragraph" w:styleId="Footer">
    <w:name w:val="footer"/>
    <w:basedOn w:val="Normal"/>
    <w:link w:val="FooterChar"/>
    <w:uiPriority w:val="99"/>
    <w:unhideWhenUsed/>
    <w:rsid w:val="000944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429"/>
  </w:style>
  <w:style w:type="paragraph" w:styleId="BalloonText">
    <w:name w:val="Balloon Text"/>
    <w:basedOn w:val="Normal"/>
    <w:link w:val="BalloonTextChar"/>
    <w:uiPriority w:val="99"/>
    <w:semiHidden/>
    <w:unhideWhenUsed/>
    <w:rsid w:val="00C850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50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961</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Grant</dc:creator>
  <cp:keywords/>
  <dc:description/>
  <cp:lastModifiedBy>Grant, Tyler J [NREM]</cp:lastModifiedBy>
  <cp:revision>10</cp:revision>
  <cp:lastPrinted>2015-09-30T16:07:00Z</cp:lastPrinted>
  <dcterms:created xsi:type="dcterms:W3CDTF">2015-09-29T15:14:00Z</dcterms:created>
  <dcterms:modified xsi:type="dcterms:W3CDTF">2015-10-01T15:49:00Z</dcterms:modified>
</cp:coreProperties>
</file>