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B42C" w14:textId="77777777" w:rsidR="004E5C53" w:rsidRDefault="004E5C53">
      <w:pPr>
        <w:jc w:val="center"/>
        <w:rPr>
          <w:rFonts w:ascii="宋体" w:eastAsia="宋体" w:hAnsi="宋体" w:hint="eastAsia"/>
          <w:b/>
          <w:sz w:val="36"/>
          <w:szCs w:val="36"/>
        </w:rPr>
      </w:pPr>
    </w:p>
    <w:p w14:paraId="0053DA53" w14:textId="77777777" w:rsidR="004E5C53" w:rsidRDefault="00FD2D76">
      <w:pPr>
        <w:jc w:val="center"/>
        <w:rPr>
          <w:b/>
        </w:rPr>
      </w:pPr>
      <w:r>
        <w:rPr>
          <w:rFonts w:ascii="Arial" w:hAnsi="Arial" w:cs="Arial"/>
          <w:noProof/>
        </w:rPr>
        <w:drawing>
          <wp:inline distT="0" distB="0" distL="0" distR="0" wp14:anchorId="45A78E7F" wp14:editId="48128025">
            <wp:extent cx="3409950" cy="1181100"/>
            <wp:effectExtent l="0" t="0" r="0" b="0"/>
            <wp:docPr id="5" name="图片 5" descr="C:\Users\kinki\Desktop\暨大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kinki\Desktop\暨大副本.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09950" cy="1181100"/>
                    </a:xfrm>
                    <a:prstGeom prst="rect">
                      <a:avLst/>
                    </a:prstGeom>
                    <a:noFill/>
                    <a:ln>
                      <a:noFill/>
                    </a:ln>
                  </pic:spPr>
                </pic:pic>
              </a:graphicData>
            </a:graphic>
          </wp:inline>
        </w:drawing>
      </w:r>
    </w:p>
    <w:p w14:paraId="2BEB4991" w14:textId="77777777" w:rsidR="004E5C53" w:rsidRDefault="004E5C53">
      <w:pPr>
        <w:rPr>
          <w:b/>
        </w:rPr>
      </w:pPr>
    </w:p>
    <w:p w14:paraId="7C7207FB" w14:textId="77777777" w:rsidR="004E5C53" w:rsidRDefault="00FD2D76">
      <w:pPr>
        <w:jc w:val="center"/>
        <w:rPr>
          <w:b/>
          <w:sz w:val="72"/>
          <w:szCs w:val="72"/>
        </w:rPr>
      </w:pPr>
      <w:r>
        <w:rPr>
          <w:rFonts w:hint="eastAsia"/>
          <w:b/>
          <w:sz w:val="72"/>
          <w:szCs w:val="72"/>
        </w:rPr>
        <w:t xml:space="preserve"> </w:t>
      </w:r>
    </w:p>
    <w:p w14:paraId="48605A16" w14:textId="77777777" w:rsidR="00A20D19" w:rsidRDefault="00A20D19">
      <w:pPr>
        <w:jc w:val="center"/>
        <w:rPr>
          <w:b/>
          <w:sz w:val="72"/>
          <w:szCs w:val="72"/>
        </w:rPr>
      </w:pPr>
      <w:r>
        <w:rPr>
          <w:rFonts w:hint="eastAsia"/>
          <w:b/>
          <w:sz w:val="72"/>
          <w:szCs w:val="72"/>
        </w:rPr>
        <w:t>《高级软件工程》</w:t>
      </w:r>
    </w:p>
    <w:p w14:paraId="3DA91B46" w14:textId="6994C789" w:rsidR="004E5C53" w:rsidRDefault="00A20D19">
      <w:pPr>
        <w:jc w:val="center"/>
        <w:rPr>
          <w:b/>
          <w:sz w:val="72"/>
          <w:szCs w:val="72"/>
        </w:rPr>
      </w:pPr>
      <w:r>
        <w:rPr>
          <w:rFonts w:hint="eastAsia"/>
          <w:b/>
          <w:sz w:val="72"/>
          <w:szCs w:val="72"/>
        </w:rPr>
        <w:t>软件</w:t>
      </w:r>
      <w:r w:rsidR="00454334">
        <w:rPr>
          <w:rFonts w:hint="eastAsia"/>
          <w:b/>
          <w:sz w:val="72"/>
          <w:szCs w:val="72"/>
        </w:rPr>
        <w:t>项目</w:t>
      </w:r>
      <w:r>
        <w:rPr>
          <w:rFonts w:hint="eastAsia"/>
          <w:b/>
          <w:sz w:val="72"/>
          <w:szCs w:val="72"/>
        </w:rPr>
        <w:t>分析</w:t>
      </w:r>
      <w:r w:rsidR="008C3F20">
        <w:rPr>
          <w:rFonts w:hint="eastAsia"/>
          <w:b/>
          <w:sz w:val="72"/>
          <w:szCs w:val="72"/>
        </w:rPr>
        <w:t>报告</w:t>
      </w:r>
    </w:p>
    <w:p w14:paraId="1B882645" w14:textId="77777777" w:rsidR="004E5C53" w:rsidRDefault="004E5C53">
      <w:pPr>
        <w:rPr>
          <w:b/>
        </w:rPr>
      </w:pPr>
    </w:p>
    <w:p w14:paraId="5130F6BD" w14:textId="77777777" w:rsidR="004E5C53" w:rsidRDefault="004E5C53">
      <w:pPr>
        <w:rPr>
          <w:b/>
        </w:rPr>
      </w:pPr>
    </w:p>
    <w:p w14:paraId="45015008" w14:textId="77777777" w:rsidR="004E5C53" w:rsidRDefault="004E5C53">
      <w:pPr>
        <w:rPr>
          <w:b/>
          <w:sz w:val="30"/>
          <w:szCs w:val="30"/>
        </w:rPr>
      </w:pPr>
    </w:p>
    <w:p w14:paraId="5E680EE2" w14:textId="7110BBEC" w:rsidR="004E5C53" w:rsidRDefault="00FD2D76">
      <w:pPr>
        <w:ind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院：</w:t>
      </w:r>
      <w:r>
        <w:rPr>
          <w:rFonts w:hint="eastAsia"/>
          <w:b/>
          <w:sz w:val="30"/>
          <w:szCs w:val="30"/>
          <w:u w:val="single"/>
        </w:rPr>
        <w:t xml:space="preserve">          </w:t>
      </w:r>
      <w:r w:rsidR="00263647">
        <w:rPr>
          <w:rFonts w:hint="eastAsia"/>
          <w:b/>
          <w:sz w:val="30"/>
          <w:szCs w:val="30"/>
          <w:u w:val="single"/>
        </w:rPr>
        <w:t>信息科学技术学院</w:t>
      </w:r>
      <w:r>
        <w:rPr>
          <w:b/>
          <w:sz w:val="30"/>
          <w:szCs w:val="30"/>
          <w:u w:val="single"/>
        </w:rPr>
        <w:t xml:space="preserve"> </w:t>
      </w:r>
      <w:r w:rsidR="00114BF6">
        <w:rPr>
          <w:b/>
          <w:sz w:val="30"/>
          <w:szCs w:val="30"/>
          <w:u w:val="single"/>
        </w:rPr>
        <w:t xml:space="preserve">    </w:t>
      </w:r>
      <w:r>
        <w:rPr>
          <w:rFonts w:hint="eastAsia"/>
          <w:b/>
          <w:sz w:val="30"/>
          <w:szCs w:val="30"/>
          <w:u w:val="single"/>
        </w:rPr>
        <w:t xml:space="preserve"> </w:t>
      </w:r>
    </w:p>
    <w:p w14:paraId="590FD4FC" w14:textId="64C0F3DA" w:rsidR="004E5C53" w:rsidRDefault="00FD2D76">
      <w:pPr>
        <w:ind w:firstLineChars="396" w:firstLine="1193"/>
        <w:rPr>
          <w:b/>
          <w:sz w:val="30"/>
          <w:szCs w:val="30"/>
        </w:rPr>
      </w:pPr>
      <w:r>
        <w:rPr>
          <w:rFonts w:hint="eastAsia"/>
          <w:b/>
          <w:sz w:val="30"/>
          <w:szCs w:val="30"/>
        </w:rPr>
        <w:t>学</w:t>
      </w:r>
      <w:r>
        <w:rPr>
          <w:rFonts w:hint="eastAsia"/>
          <w:b/>
          <w:sz w:val="30"/>
          <w:szCs w:val="30"/>
        </w:rPr>
        <w:t xml:space="preserve">    </w:t>
      </w:r>
      <w:r>
        <w:rPr>
          <w:rFonts w:hint="eastAsia"/>
          <w:b/>
          <w:sz w:val="30"/>
          <w:szCs w:val="30"/>
        </w:rPr>
        <w:t>系：</w:t>
      </w:r>
      <w:r w:rsidR="00114BF6">
        <w:rPr>
          <w:rFonts w:hint="eastAsia"/>
          <w:b/>
          <w:sz w:val="30"/>
          <w:szCs w:val="30"/>
          <w:u w:val="single"/>
        </w:rPr>
        <w:t xml:space="preserve">          </w:t>
      </w:r>
      <w:r w:rsidR="00263647">
        <w:rPr>
          <w:rFonts w:hint="eastAsia"/>
          <w:b/>
          <w:sz w:val="30"/>
          <w:szCs w:val="30"/>
          <w:u w:val="single"/>
        </w:rPr>
        <w:t>计算机系</w:t>
      </w:r>
      <w:r w:rsidR="00114BF6">
        <w:rPr>
          <w:rFonts w:hint="eastAsia"/>
          <w:b/>
          <w:sz w:val="30"/>
          <w:szCs w:val="30"/>
          <w:u w:val="single"/>
        </w:rPr>
        <w:t xml:space="preserve"> </w:t>
      </w:r>
      <w:r w:rsidR="00114BF6">
        <w:rPr>
          <w:b/>
          <w:sz w:val="30"/>
          <w:szCs w:val="30"/>
          <w:u w:val="single"/>
        </w:rPr>
        <w:t xml:space="preserve">           </w:t>
      </w:r>
    </w:p>
    <w:p w14:paraId="4F6A9C11" w14:textId="23DA1D3F" w:rsidR="004E5C53" w:rsidRDefault="00FD2D76">
      <w:pPr>
        <w:ind w:firstLineChars="396" w:firstLine="1193"/>
        <w:rPr>
          <w:b/>
          <w:sz w:val="30"/>
          <w:szCs w:val="30"/>
        </w:rPr>
      </w:pPr>
      <w:r>
        <w:rPr>
          <w:rFonts w:hint="eastAsia"/>
          <w:b/>
          <w:sz w:val="30"/>
          <w:szCs w:val="30"/>
        </w:rPr>
        <w:t>专</w:t>
      </w:r>
      <w:r>
        <w:rPr>
          <w:rFonts w:hint="eastAsia"/>
          <w:b/>
          <w:sz w:val="30"/>
          <w:szCs w:val="30"/>
        </w:rPr>
        <w:t xml:space="preserve">    </w:t>
      </w:r>
      <w:r>
        <w:rPr>
          <w:rFonts w:hint="eastAsia"/>
          <w:b/>
          <w:sz w:val="30"/>
          <w:szCs w:val="30"/>
        </w:rPr>
        <w:t>业：</w:t>
      </w:r>
      <w:r w:rsidR="00114BF6">
        <w:rPr>
          <w:rFonts w:hint="eastAsia"/>
          <w:b/>
          <w:sz w:val="30"/>
          <w:szCs w:val="30"/>
          <w:u w:val="single"/>
        </w:rPr>
        <w:t xml:space="preserve">          </w:t>
      </w:r>
      <w:r w:rsidR="00263647">
        <w:rPr>
          <w:rFonts w:hint="eastAsia"/>
          <w:b/>
          <w:sz w:val="30"/>
          <w:szCs w:val="30"/>
          <w:u w:val="single"/>
        </w:rPr>
        <w:t>计算机技术</w:t>
      </w:r>
      <w:r w:rsidR="00114BF6">
        <w:rPr>
          <w:rFonts w:hint="eastAsia"/>
          <w:b/>
          <w:sz w:val="30"/>
          <w:szCs w:val="30"/>
          <w:u w:val="single"/>
        </w:rPr>
        <w:t xml:space="preserve">   </w:t>
      </w:r>
      <w:r w:rsidR="00114BF6">
        <w:rPr>
          <w:b/>
          <w:sz w:val="30"/>
          <w:szCs w:val="30"/>
          <w:u w:val="single"/>
        </w:rPr>
        <w:t xml:space="preserve">        </w:t>
      </w:r>
    </w:p>
    <w:p w14:paraId="47F20DD2" w14:textId="5FF22497" w:rsidR="004E5C53" w:rsidRDefault="00FD2D76">
      <w:pPr>
        <w:ind w:firstLineChars="396" w:firstLine="1193"/>
        <w:rPr>
          <w:b/>
          <w:sz w:val="30"/>
          <w:szCs w:val="30"/>
        </w:rPr>
      </w:pPr>
      <w:r>
        <w:rPr>
          <w:rFonts w:hint="eastAsia"/>
          <w:b/>
          <w:sz w:val="30"/>
          <w:szCs w:val="30"/>
        </w:rPr>
        <w:t>课程名称：</w:t>
      </w:r>
      <w:r>
        <w:rPr>
          <w:rFonts w:hint="eastAsia"/>
          <w:b/>
          <w:sz w:val="30"/>
          <w:szCs w:val="30"/>
          <w:u w:val="single"/>
        </w:rPr>
        <w:t xml:space="preserve">     </w:t>
      </w:r>
      <w:r w:rsidR="009E3910">
        <w:rPr>
          <w:b/>
          <w:sz w:val="30"/>
          <w:szCs w:val="30"/>
          <w:u w:val="single"/>
        </w:rPr>
        <w:t xml:space="preserve">    </w:t>
      </w:r>
      <w:r>
        <w:rPr>
          <w:rFonts w:hint="eastAsia"/>
          <w:b/>
          <w:sz w:val="30"/>
          <w:szCs w:val="30"/>
          <w:u w:val="single"/>
        </w:rPr>
        <w:t xml:space="preserve"> </w:t>
      </w:r>
      <w:r w:rsidR="009E3910">
        <w:rPr>
          <w:rFonts w:hint="eastAsia"/>
          <w:b/>
          <w:sz w:val="30"/>
          <w:szCs w:val="30"/>
          <w:u w:val="single"/>
        </w:rPr>
        <w:t>高级软件工程</w:t>
      </w:r>
      <w:r w:rsidR="009E3910">
        <w:rPr>
          <w:rFonts w:hint="eastAsia"/>
          <w:b/>
          <w:sz w:val="30"/>
          <w:szCs w:val="30"/>
          <w:u w:val="single"/>
        </w:rPr>
        <w:t xml:space="preserve"> </w:t>
      </w:r>
      <w:r w:rsidR="009E3910">
        <w:rPr>
          <w:b/>
          <w:sz w:val="30"/>
          <w:szCs w:val="30"/>
          <w:u w:val="single"/>
        </w:rPr>
        <w:t xml:space="preserve"> </w:t>
      </w:r>
      <w:r>
        <w:rPr>
          <w:rFonts w:hint="eastAsia"/>
          <w:b/>
          <w:sz w:val="30"/>
          <w:szCs w:val="30"/>
          <w:u w:val="single"/>
        </w:rPr>
        <w:t xml:space="preserve">        </w:t>
      </w:r>
    </w:p>
    <w:p w14:paraId="6A7EA1F9" w14:textId="55755409" w:rsidR="00D86318" w:rsidRDefault="00FD2D76">
      <w:pPr>
        <w:ind w:firstLineChars="396" w:firstLine="1193"/>
        <w:rPr>
          <w:b/>
          <w:sz w:val="30"/>
          <w:szCs w:val="30"/>
          <w:u w:val="single"/>
        </w:rPr>
      </w:pPr>
      <w:r>
        <w:rPr>
          <w:rFonts w:hint="eastAsia"/>
          <w:b/>
          <w:sz w:val="30"/>
          <w:szCs w:val="30"/>
        </w:rPr>
        <w:t>学生姓名</w:t>
      </w:r>
      <w:r w:rsidR="00D86318">
        <w:rPr>
          <w:rFonts w:hint="eastAsia"/>
          <w:b/>
          <w:sz w:val="30"/>
          <w:szCs w:val="30"/>
        </w:rPr>
        <w:t>（学号）</w:t>
      </w:r>
      <w:r>
        <w:rPr>
          <w:rFonts w:hint="eastAsia"/>
          <w:b/>
          <w:sz w:val="30"/>
          <w:szCs w:val="30"/>
        </w:rPr>
        <w:t>：</w:t>
      </w:r>
      <w:r w:rsidR="00114BF6">
        <w:rPr>
          <w:rFonts w:hint="eastAsia"/>
          <w:b/>
          <w:sz w:val="30"/>
          <w:szCs w:val="30"/>
          <w:u w:val="single"/>
        </w:rPr>
        <w:t xml:space="preserve">  </w:t>
      </w:r>
      <w:r w:rsidR="00263647">
        <w:rPr>
          <w:rFonts w:hint="eastAsia"/>
          <w:b/>
          <w:sz w:val="30"/>
          <w:szCs w:val="30"/>
          <w:u w:val="single"/>
        </w:rPr>
        <w:t>袁思伟</w:t>
      </w:r>
      <w:r w:rsidR="00263647">
        <w:rPr>
          <w:rFonts w:hint="eastAsia"/>
          <w:b/>
          <w:sz w:val="30"/>
          <w:szCs w:val="30"/>
          <w:u w:val="single"/>
        </w:rPr>
        <w:t>202534561053</w:t>
      </w:r>
      <w:r w:rsidR="00D86318">
        <w:rPr>
          <w:b/>
          <w:sz w:val="30"/>
          <w:szCs w:val="30"/>
          <w:u w:val="single"/>
        </w:rPr>
        <w:t xml:space="preserve">   </w:t>
      </w:r>
    </w:p>
    <w:p w14:paraId="2F07817E" w14:textId="77777777" w:rsidR="00D86318" w:rsidRPr="00263647" w:rsidRDefault="00D86318">
      <w:pPr>
        <w:ind w:firstLineChars="396" w:firstLine="1188"/>
        <w:rPr>
          <w:sz w:val="30"/>
          <w:szCs w:val="30"/>
          <w:u w:val="single"/>
        </w:rPr>
      </w:pPr>
    </w:p>
    <w:p w14:paraId="2C952A53" w14:textId="17BA1013" w:rsidR="004E5C53" w:rsidRDefault="009E3910">
      <w:pPr>
        <w:ind w:firstLineChars="396" w:firstLine="1193"/>
        <w:rPr>
          <w:b/>
          <w:sz w:val="30"/>
          <w:szCs w:val="30"/>
          <w:u w:val="single"/>
        </w:rPr>
      </w:pPr>
      <w:r>
        <w:rPr>
          <w:rFonts w:hint="eastAsia"/>
          <w:b/>
          <w:sz w:val="30"/>
          <w:szCs w:val="30"/>
        </w:rPr>
        <w:t>授课</w:t>
      </w:r>
      <w:r w:rsidR="00FD2D76">
        <w:rPr>
          <w:rFonts w:hint="eastAsia"/>
          <w:b/>
          <w:sz w:val="30"/>
          <w:szCs w:val="30"/>
        </w:rPr>
        <w:t>教师：</w:t>
      </w:r>
      <w:r w:rsidR="00FD2D76">
        <w:rPr>
          <w:rFonts w:hint="eastAsia"/>
          <w:b/>
          <w:sz w:val="30"/>
          <w:szCs w:val="30"/>
          <w:u w:val="single"/>
        </w:rPr>
        <w:t xml:space="preserve">        </w:t>
      </w:r>
      <w:r w:rsidR="00FD2D76">
        <w:rPr>
          <w:b/>
          <w:sz w:val="30"/>
          <w:szCs w:val="30"/>
          <w:u w:val="single"/>
        </w:rPr>
        <w:t xml:space="preserve">   </w:t>
      </w:r>
      <w:r w:rsidR="00FD2D76">
        <w:rPr>
          <w:rFonts w:hint="eastAsia"/>
          <w:b/>
          <w:sz w:val="30"/>
          <w:szCs w:val="30"/>
          <w:u w:val="single"/>
        </w:rPr>
        <w:t>孙玉霞</w:t>
      </w:r>
      <w:r w:rsidR="00FD2D76">
        <w:rPr>
          <w:rFonts w:hint="eastAsia"/>
          <w:b/>
          <w:sz w:val="30"/>
          <w:szCs w:val="30"/>
          <w:u w:val="single"/>
        </w:rPr>
        <w:t xml:space="preserve">    </w:t>
      </w:r>
      <w:r w:rsidR="00FD2D76">
        <w:rPr>
          <w:b/>
          <w:sz w:val="30"/>
          <w:szCs w:val="30"/>
          <w:u w:val="single"/>
        </w:rPr>
        <w:t xml:space="preserve">   </w:t>
      </w:r>
      <w:r w:rsidR="00FD2D76">
        <w:rPr>
          <w:rFonts w:hint="eastAsia"/>
          <w:b/>
          <w:sz w:val="30"/>
          <w:szCs w:val="30"/>
          <w:u w:val="single"/>
        </w:rPr>
        <w:t xml:space="preserve">        </w:t>
      </w:r>
    </w:p>
    <w:p w14:paraId="7185834C" w14:textId="77777777" w:rsidR="004E5C53" w:rsidRDefault="004E5C53">
      <w:pPr>
        <w:jc w:val="center"/>
        <w:rPr>
          <w:b/>
        </w:rPr>
      </w:pPr>
    </w:p>
    <w:p w14:paraId="2A0AEFF3" w14:textId="77777777" w:rsidR="004E5C53" w:rsidRDefault="004E5C53">
      <w:pPr>
        <w:jc w:val="center"/>
        <w:rPr>
          <w:b/>
        </w:rPr>
      </w:pPr>
    </w:p>
    <w:p w14:paraId="00A40224" w14:textId="77777777" w:rsidR="004E5C53" w:rsidRDefault="004E5C53">
      <w:pPr>
        <w:jc w:val="center"/>
        <w:rPr>
          <w:b/>
        </w:rPr>
      </w:pPr>
    </w:p>
    <w:p w14:paraId="2EF2CFC8" w14:textId="77777777" w:rsidR="004E5C53" w:rsidRDefault="004E5C53">
      <w:pPr>
        <w:jc w:val="center"/>
        <w:rPr>
          <w:b/>
        </w:rPr>
      </w:pPr>
    </w:p>
    <w:p w14:paraId="341A080C" w14:textId="559BBDDB" w:rsidR="004E5C53" w:rsidRDefault="00FD2D76">
      <w:pPr>
        <w:jc w:val="center"/>
        <w:rPr>
          <w:b/>
          <w:sz w:val="28"/>
        </w:rPr>
      </w:pPr>
      <w:r>
        <w:rPr>
          <w:b/>
          <w:sz w:val="28"/>
        </w:rPr>
        <w:t xml:space="preserve"> </w:t>
      </w:r>
      <w:r w:rsidR="00263647">
        <w:rPr>
          <w:rFonts w:hint="eastAsia"/>
          <w:b/>
          <w:sz w:val="28"/>
        </w:rPr>
        <w:t>2026</w:t>
      </w:r>
      <w:r>
        <w:rPr>
          <w:rFonts w:hint="eastAsia"/>
          <w:b/>
          <w:sz w:val="28"/>
        </w:rPr>
        <w:t>年</w:t>
      </w:r>
      <w:r>
        <w:rPr>
          <w:rFonts w:hint="eastAsia"/>
          <w:b/>
          <w:sz w:val="28"/>
        </w:rPr>
        <w:t xml:space="preserve">  </w:t>
      </w:r>
      <w:r>
        <w:rPr>
          <w:rFonts w:hint="eastAsia"/>
          <w:b/>
          <w:sz w:val="28"/>
        </w:rPr>
        <w:t>月</w:t>
      </w:r>
      <w:r>
        <w:rPr>
          <w:rFonts w:hint="eastAsia"/>
          <w:b/>
          <w:sz w:val="28"/>
        </w:rPr>
        <w:t xml:space="preserve">  </w:t>
      </w:r>
      <w:r>
        <w:rPr>
          <w:rFonts w:hint="eastAsia"/>
          <w:b/>
          <w:sz w:val="28"/>
        </w:rPr>
        <w:t>日</w:t>
      </w:r>
    </w:p>
    <w:p w14:paraId="18E8F697" w14:textId="77777777" w:rsidR="00454334" w:rsidRPr="00454334" w:rsidRDefault="00EC5990" w:rsidP="00D86318">
      <w:pPr>
        <w:pStyle w:val="ab"/>
        <w:widowControl/>
        <w:numPr>
          <w:ilvl w:val="0"/>
          <w:numId w:val="4"/>
        </w:numPr>
        <w:spacing w:line="720" w:lineRule="auto"/>
        <w:ind w:firstLineChars="0"/>
        <w:jc w:val="left"/>
        <w:rPr>
          <w:rFonts w:ascii="宋体" w:eastAsia="宋体" w:hAnsi="宋体" w:hint="eastAsia"/>
          <w:b/>
          <w:sz w:val="32"/>
          <w:szCs w:val="32"/>
        </w:rPr>
      </w:pPr>
      <w:r>
        <w:rPr>
          <w:rFonts w:ascii="宋体" w:eastAsia="宋体" w:hAnsi="宋体"/>
          <w:b/>
          <w:sz w:val="36"/>
          <w:szCs w:val="36"/>
        </w:rPr>
        <w:lastRenderedPageBreak/>
        <w:t>项目的GitHub链接地址，</w:t>
      </w:r>
      <w:r>
        <w:rPr>
          <w:rFonts w:ascii="宋体" w:eastAsia="宋体" w:hAnsi="宋体"/>
          <w:b/>
          <w:sz w:val="36"/>
          <w:szCs w:val="36"/>
        </w:rPr>
        <w:br/>
      </w:r>
      <w:r>
        <w:rPr>
          <w:rFonts w:ascii="宋体" w:eastAsia="宋体" w:hAnsi="宋体"/>
          <w:b/>
          <w:sz w:val="36"/>
          <w:szCs w:val="36"/>
        </w:rPr>
        <w:br/>
        <w:t>项目的GitHub链接地址：https://github.com/ （请替换为你的实际GitHub仓库地址）</w:t>
      </w:r>
      <w:r>
        <w:rPr>
          <w:rFonts w:ascii="宋体" w:eastAsia="宋体" w:hAnsi="宋体"/>
          <w:b/>
          <w:sz w:val="36"/>
          <w:szCs w:val="36"/>
        </w:rPr>
        <w:br/>
        <w:t>链接内容包括：</w:t>
      </w:r>
      <w:r>
        <w:rPr>
          <w:rFonts w:ascii="宋体" w:eastAsia="宋体" w:hAnsi="宋体"/>
          <w:b/>
          <w:sz w:val="36"/>
          <w:szCs w:val="36"/>
        </w:rPr>
        <w:br/>
        <w:t xml:space="preserve">  1. 代码（</w:t>
      </w:r>
      <w:proofErr w:type="spellStart"/>
      <w:r>
        <w:rPr>
          <w:rFonts w:ascii="宋体" w:eastAsia="宋体" w:hAnsi="宋体"/>
          <w:b/>
          <w:sz w:val="36"/>
          <w:szCs w:val="36"/>
        </w:rPr>
        <w:t>src</w:t>
      </w:r>
      <w:proofErr w:type="spellEnd"/>
      <w:r>
        <w:rPr>
          <w:rFonts w:ascii="宋体" w:eastAsia="宋体" w:hAnsi="宋体"/>
          <w:b/>
          <w:sz w:val="36"/>
          <w:szCs w:val="36"/>
        </w:rPr>
        <w:t>/目录）：data_loader.py、preprocess.py、models.py、evaluate.py、shap_analysis.py、main.py</w:t>
      </w:r>
      <w:r>
        <w:rPr>
          <w:rFonts w:ascii="宋体" w:eastAsia="宋体" w:hAnsi="宋体"/>
          <w:b/>
          <w:sz w:val="36"/>
          <w:szCs w:val="36"/>
        </w:rPr>
        <w:br/>
        <w:t xml:space="preserve">  2. 数据集（data/raw/目录）：JM1.csv、KC1.csv、PC1.csv</w:t>
      </w:r>
      <w:r>
        <w:rPr>
          <w:rFonts w:ascii="宋体" w:eastAsia="宋体" w:hAnsi="宋体"/>
          <w:b/>
          <w:sz w:val="36"/>
          <w:szCs w:val="36"/>
        </w:rPr>
        <w:br/>
        <w:t xml:space="preserve">  3. 用法Readme文件（README.md）：包含项目简介、环境依赖、安装步骤、使用方法和参考来源</w:t>
      </w:r>
      <w:bookmarkStart w:id="0" w:name="_Hlk87995626"/>
    </w:p>
    <w:p w14:paraId="11B7EBC7" w14:textId="2D510992" w:rsidR="00454334" w:rsidRPr="00454334" w:rsidRDefault="00454334" w:rsidP="00454334">
      <w:pPr>
        <w:pStyle w:val="ab"/>
        <w:widowControl/>
        <w:ind w:left="720" w:firstLineChars="0" w:firstLine="0"/>
        <w:jc w:val="left"/>
        <w:rPr>
          <w:rFonts w:ascii="宋体" w:eastAsia="宋体" w:hAnsi="宋体" w:hint="eastAsia"/>
          <w:b/>
          <w:sz w:val="24"/>
          <w:szCs w:val="32"/>
        </w:rPr>
      </w:pPr>
      <w:r w:rsidRPr="00454334">
        <w:rPr>
          <w:rFonts w:ascii="宋体" w:eastAsia="宋体" w:hAnsi="宋体" w:hint="eastAsia"/>
          <w:b/>
          <w:sz w:val="24"/>
          <w:szCs w:val="32"/>
        </w:rPr>
        <w:t>链接内容包括：</w:t>
      </w:r>
    </w:p>
    <w:p w14:paraId="5E8587C1" w14:textId="649B66A9" w:rsidR="009E3910" w:rsidRPr="00454334" w:rsidRDefault="00454334" w:rsidP="00454334">
      <w:pPr>
        <w:pStyle w:val="ab"/>
        <w:widowControl/>
        <w:ind w:left="720" w:firstLineChars="0" w:firstLine="0"/>
        <w:jc w:val="left"/>
        <w:rPr>
          <w:rFonts w:ascii="宋体" w:eastAsia="宋体" w:hAnsi="宋体" w:hint="eastAsia"/>
          <w:b/>
          <w:sz w:val="24"/>
          <w:szCs w:val="32"/>
        </w:rPr>
      </w:pPr>
      <w:r>
        <w:rPr>
          <w:rFonts w:ascii="宋体" w:eastAsia="宋体" w:hAnsi="宋体" w:hint="eastAsia"/>
          <w:b/>
          <w:sz w:val="24"/>
          <w:szCs w:val="32"/>
        </w:rPr>
        <w:t>1</w:t>
      </w:r>
      <w:r>
        <w:rPr>
          <w:rFonts w:ascii="宋体" w:eastAsia="宋体" w:hAnsi="宋体"/>
          <w:b/>
          <w:sz w:val="24"/>
          <w:szCs w:val="32"/>
        </w:rPr>
        <w:t>.</w:t>
      </w:r>
      <w:r w:rsidRPr="00454334">
        <w:rPr>
          <w:rFonts w:ascii="宋体" w:eastAsia="宋体" w:hAnsi="宋体" w:hint="eastAsia"/>
          <w:b/>
          <w:sz w:val="24"/>
          <w:szCs w:val="32"/>
        </w:rPr>
        <w:t>代码</w:t>
      </w:r>
      <w:r>
        <w:rPr>
          <w:rFonts w:ascii="宋体" w:eastAsia="宋体" w:hAnsi="宋体" w:hint="eastAsia"/>
          <w:b/>
          <w:sz w:val="24"/>
          <w:szCs w:val="32"/>
        </w:rPr>
        <w:t xml:space="preserve"> </w:t>
      </w:r>
      <w:r>
        <w:rPr>
          <w:rFonts w:ascii="宋体" w:eastAsia="宋体" w:hAnsi="宋体"/>
          <w:b/>
          <w:sz w:val="24"/>
          <w:szCs w:val="32"/>
        </w:rPr>
        <w:t xml:space="preserve">  2.</w:t>
      </w:r>
      <w:r w:rsidRPr="00454334">
        <w:rPr>
          <w:rFonts w:ascii="宋体" w:eastAsia="宋体" w:hAnsi="宋体" w:hint="eastAsia"/>
          <w:b/>
          <w:sz w:val="24"/>
          <w:szCs w:val="32"/>
        </w:rPr>
        <w:t>数据集</w:t>
      </w:r>
      <w:r>
        <w:rPr>
          <w:rFonts w:ascii="宋体" w:eastAsia="宋体" w:hAnsi="宋体" w:hint="eastAsia"/>
          <w:b/>
          <w:sz w:val="24"/>
          <w:szCs w:val="32"/>
        </w:rPr>
        <w:t xml:space="preserve"> </w:t>
      </w:r>
      <w:r>
        <w:rPr>
          <w:rFonts w:ascii="宋体" w:eastAsia="宋体" w:hAnsi="宋体"/>
          <w:b/>
          <w:sz w:val="24"/>
          <w:szCs w:val="32"/>
        </w:rPr>
        <w:t xml:space="preserve"> 3.</w:t>
      </w:r>
      <w:r w:rsidRPr="00454334">
        <w:rPr>
          <w:rFonts w:ascii="宋体" w:eastAsia="宋体" w:hAnsi="宋体" w:hint="eastAsia"/>
          <w:b/>
          <w:sz w:val="24"/>
          <w:szCs w:val="32"/>
        </w:rPr>
        <w:t>用法Readme文件</w:t>
      </w:r>
    </w:p>
    <w:p w14:paraId="63D34842" w14:textId="4DEC6569" w:rsidR="009418DD" w:rsidRDefault="00454334" w:rsidP="009E3910">
      <w:pPr>
        <w:pStyle w:val="ab"/>
        <w:widowControl/>
        <w:numPr>
          <w:ilvl w:val="0"/>
          <w:numId w:val="4"/>
        </w:numPr>
        <w:spacing w:line="720" w:lineRule="auto"/>
        <w:ind w:firstLineChars="0"/>
        <w:jc w:val="left"/>
        <w:rPr>
          <w:rFonts w:ascii="宋体" w:eastAsia="宋体" w:hAnsi="宋体" w:hint="eastAsia"/>
          <w:b/>
          <w:sz w:val="32"/>
          <w:szCs w:val="32"/>
        </w:rPr>
      </w:pPr>
      <w:r>
        <w:rPr>
          <w:rFonts w:ascii="宋体" w:eastAsia="宋体" w:hAnsi="宋体" w:hint="eastAsia"/>
          <w:b/>
          <w:sz w:val="32"/>
          <w:szCs w:val="32"/>
        </w:rPr>
        <w:lastRenderedPageBreak/>
        <w:t>项目功能介绍</w:t>
      </w:r>
    </w:p>
    <w:p w14:paraId="1C924DEC" w14:textId="0CAA980A" w:rsidR="00454334" w:rsidRDefault="00454334" w:rsidP="00454334">
      <w:pPr>
        <w:pStyle w:val="ab"/>
        <w:widowControl/>
        <w:numPr>
          <w:ilvl w:val="0"/>
          <w:numId w:val="7"/>
        </w:numPr>
        <w:ind w:firstLineChars="0"/>
        <w:jc w:val="left"/>
        <w:rPr>
          <w:rFonts w:ascii="宋体" w:eastAsia="宋体" w:hAnsi="宋体" w:hint="eastAsia"/>
          <w:b/>
          <w:sz w:val="24"/>
          <w:szCs w:val="32"/>
        </w:rPr>
      </w:pPr>
      <w:r>
        <w:rPr>
          <w:rFonts w:ascii="宋体" w:eastAsia="宋体" w:hAnsi="宋体" w:hint="eastAsia"/>
          <w:b/>
          <w:sz w:val="24"/>
          <w:szCs w:val="32"/>
        </w:rPr>
        <w:t>项目功能介绍</w:t>
      </w:r>
      <w:r>
        <w:rPr>
          <w:rFonts w:ascii="宋体" w:eastAsia="宋体" w:hAnsi="宋体" w:hint="eastAsia"/>
          <w:b/>
          <w:sz w:val="24"/>
          <w:szCs w:val="32"/>
        </w:rPr>
        <w:br/>
      </w:r>
      <w:r>
        <w:rPr>
          <w:rFonts w:ascii="宋体" w:eastAsia="宋体" w:hAnsi="宋体" w:hint="eastAsia"/>
          <w:b/>
          <w:sz w:val="24"/>
          <w:szCs w:val="32"/>
        </w:rPr>
        <w:br/>
        <w:t>本项目实现了一个基于机器学习的软件缺陷预测系统，旨在利用软件度量数据自动识别可能存在缺陷的软件模块。软件缺陷预测是软件质量保证领域的重要研究方向。传统的代码审查和测试方法成本高昂、耗时且依赖人工经验。本项目通过机器学习技术，将软件模块的历史度量数据（如代码行数、圈复杂度、Halstead度量等）与缺陷记录进行关联建模，训练出能够自动预测新模块是否存在缺陷的分类模型。</w:t>
      </w:r>
      <w:r>
        <w:rPr>
          <w:rFonts w:ascii="宋体" w:eastAsia="宋体" w:hAnsi="宋体" w:hint="eastAsia"/>
          <w:b/>
          <w:sz w:val="24"/>
          <w:szCs w:val="32"/>
        </w:rPr>
        <w:br/>
      </w:r>
      <w:r>
        <w:rPr>
          <w:rFonts w:ascii="宋体" w:eastAsia="宋体" w:hAnsi="宋体" w:hint="eastAsia"/>
          <w:b/>
          <w:sz w:val="24"/>
          <w:szCs w:val="32"/>
        </w:rPr>
        <w:br/>
        <w:t>项目实现了完整的机器学习流水线，包括以下核心功能：</w:t>
      </w:r>
      <w:r>
        <w:rPr>
          <w:rFonts w:ascii="宋体" w:eastAsia="宋体" w:hAnsi="宋体" w:hint="eastAsia"/>
          <w:b/>
          <w:sz w:val="24"/>
          <w:szCs w:val="32"/>
        </w:rPr>
        <w:br/>
      </w:r>
      <w:r>
        <w:rPr>
          <w:rFonts w:ascii="宋体" w:eastAsia="宋体" w:hAnsi="宋体" w:hint="eastAsia"/>
          <w:b/>
          <w:sz w:val="24"/>
          <w:szCs w:val="32"/>
        </w:rPr>
        <w:br/>
        <w:t>（1）多源数据加载与清洗。系统支持从PROMISE软件工程仓库加载NASA MDP数据集，涵盖JM1（C语言实时地面系统，8,908条记录）、KC1（C++存储管理系统，1,212条记录）和PC1（卫星飞行软件，954条记录）三个真实工业项目的数据。数据加载后自动进行重复值去除、缺失值填充等清洗操作。</w:t>
      </w:r>
      <w:r>
        <w:rPr>
          <w:rFonts w:ascii="宋体" w:eastAsia="宋体" w:hAnsi="宋体" w:hint="eastAsia"/>
          <w:b/>
          <w:sz w:val="24"/>
          <w:szCs w:val="32"/>
        </w:rPr>
        <w:br/>
      </w:r>
      <w:r>
        <w:rPr>
          <w:rFonts w:ascii="宋体" w:eastAsia="宋体" w:hAnsi="宋体" w:hint="eastAsia"/>
          <w:b/>
          <w:sz w:val="24"/>
          <w:szCs w:val="32"/>
        </w:rPr>
        <w:br/>
        <w:t>（2）特征工程。系统自动识别并移除低方差特征和高度相关特征（皮尔逊相关系数大于0.95），减少特征冗余，从21个原始特征中筛选出13-14个有效特征。通过</w:t>
      </w:r>
      <w:proofErr w:type="spellStart"/>
      <w:r>
        <w:rPr>
          <w:rFonts w:ascii="宋体" w:eastAsia="宋体" w:hAnsi="宋体" w:hint="eastAsia"/>
          <w:b/>
          <w:sz w:val="24"/>
          <w:szCs w:val="32"/>
        </w:rPr>
        <w:t>StandardScaler</w:t>
      </w:r>
      <w:proofErr w:type="spellEnd"/>
      <w:r>
        <w:rPr>
          <w:rFonts w:ascii="宋体" w:eastAsia="宋体" w:hAnsi="宋体" w:hint="eastAsia"/>
          <w:b/>
          <w:sz w:val="24"/>
          <w:szCs w:val="32"/>
        </w:rPr>
        <w:t>对特征进行标准化处理，消除量纲差异对模型的影响。</w:t>
      </w:r>
      <w:r>
        <w:rPr>
          <w:rFonts w:ascii="宋体" w:eastAsia="宋体" w:hAnsi="宋体" w:hint="eastAsia"/>
          <w:b/>
          <w:sz w:val="24"/>
          <w:szCs w:val="32"/>
        </w:rPr>
        <w:br/>
      </w:r>
      <w:r>
        <w:rPr>
          <w:rFonts w:ascii="宋体" w:eastAsia="宋体" w:hAnsi="宋体" w:hint="eastAsia"/>
          <w:b/>
          <w:sz w:val="24"/>
          <w:szCs w:val="32"/>
        </w:rPr>
        <w:br/>
        <w:t>（3）类别不平衡处理。软件缺陷数据天然存在严重的类别不平衡问题（缺陷模块通常仅占7%~26%）。系统采用SMOTE（Synthetic Minority Over-sampling Technique）合成少数类过采样技术，在训练集上生成平衡的数据分布，有效提升模型对缺陷模块的识别能力。</w:t>
      </w:r>
      <w:r>
        <w:rPr>
          <w:rFonts w:ascii="宋体" w:eastAsia="宋体" w:hAnsi="宋体" w:hint="eastAsia"/>
          <w:b/>
          <w:sz w:val="24"/>
          <w:szCs w:val="32"/>
        </w:rPr>
        <w:br/>
      </w:r>
      <w:r>
        <w:rPr>
          <w:rFonts w:ascii="宋体" w:eastAsia="宋体" w:hAnsi="宋体" w:hint="eastAsia"/>
          <w:b/>
          <w:sz w:val="24"/>
          <w:szCs w:val="32"/>
        </w:rPr>
        <w:br/>
        <w:t>（4）多模型对比训练。系统集成了四种主流分类模型：Logistic Regression（线性基准模型）、Support Vector Machine（支持向量机）、Random Forest（随机森林集成学习）和</w:t>
      </w:r>
      <w:proofErr w:type="spellStart"/>
      <w:r>
        <w:rPr>
          <w:rFonts w:ascii="宋体" w:eastAsia="宋体" w:hAnsi="宋体" w:hint="eastAsia"/>
          <w:b/>
          <w:sz w:val="24"/>
          <w:szCs w:val="32"/>
        </w:rPr>
        <w:t>XGBoost</w:t>
      </w:r>
      <w:proofErr w:type="spellEnd"/>
      <w:r>
        <w:rPr>
          <w:rFonts w:ascii="宋体" w:eastAsia="宋体" w:hAnsi="宋体" w:hint="eastAsia"/>
          <w:b/>
          <w:sz w:val="24"/>
          <w:szCs w:val="32"/>
        </w:rPr>
        <w:t>（极端梯度提升）。支持可选的超参数网格搜索调优（</w:t>
      </w:r>
      <w:proofErr w:type="spellStart"/>
      <w:r>
        <w:rPr>
          <w:rFonts w:ascii="宋体" w:eastAsia="宋体" w:hAnsi="宋体" w:hint="eastAsia"/>
          <w:b/>
          <w:sz w:val="24"/>
          <w:szCs w:val="32"/>
        </w:rPr>
        <w:t>GridSearchCV</w:t>
      </w:r>
      <w:proofErr w:type="spellEnd"/>
      <w:r>
        <w:rPr>
          <w:rFonts w:ascii="宋体" w:eastAsia="宋体" w:hAnsi="宋体" w:hint="eastAsia"/>
          <w:b/>
          <w:sz w:val="24"/>
          <w:szCs w:val="32"/>
        </w:rPr>
        <w:t>）。</w:t>
      </w:r>
      <w:r>
        <w:rPr>
          <w:rFonts w:ascii="宋体" w:eastAsia="宋体" w:hAnsi="宋体" w:hint="eastAsia"/>
          <w:b/>
          <w:sz w:val="24"/>
          <w:szCs w:val="32"/>
        </w:rPr>
        <w:br/>
      </w:r>
      <w:r>
        <w:rPr>
          <w:rFonts w:ascii="宋体" w:eastAsia="宋体" w:hAnsi="宋体" w:hint="eastAsia"/>
          <w:b/>
          <w:sz w:val="24"/>
          <w:szCs w:val="32"/>
        </w:rPr>
        <w:br/>
        <w:t>（5）多维度评估。采用Accuracy、Precision、Recall、F1-Score、MCC（Matthews相关系数）和ROC-AUC共六项指标进行全面评估。同时生成混淆矩阵、ROC曲线、指标对比条形图等可视化结果。</w:t>
      </w:r>
      <w:r>
        <w:rPr>
          <w:rFonts w:ascii="宋体" w:eastAsia="宋体" w:hAnsi="宋体" w:hint="eastAsia"/>
          <w:b/>
          <w:sz w:val="24"/>
          <w:szCs w:val="32"/>
        </w:rPr>
        <w:br/>
      </w:r>
      <w:r>
        <w:rPr>
          <w:rFonts w:ascii="宋体" w:eastAsia="宋体" w:hAnsi="宋体" w:hint="eastAsia"/>
          <w:b/>
          <w:sz w:val="24"/>
          <w:szCs w:val="32"/>
        </w:rPr>
        <w:br/>
        <w:t>（6）模型可解释性分析。使用SHAP（</w:t>
      </w:r>
      <w:proofErr w:type="spellStart"/>
      <w:r>
        <w:rPr>
          <w:rFonts w:ascii="宋体" w:eastAsia="宋体" w:hAnsi="宋体" w:hint="eastAsia"/>
          <w:b/>
          <w:sz w:val="24"/>
          <w:szCs w:val="32"/>
        </w:rPr>
        <w:t>SHapley</w:t>
      </w:r>
      <w:proofErr w:type="spellEnd"/>
      <w:r>
        <w:rPr>
          <w:rFonts w:ascii="宋体" w:eastAsia="宋体" w:hAnsi="宋体" w:hint="eastAsia"/>
          <w:b/>
          <w:sz w:val="24"/>
          <w:szCs w:val="32"/>
        </w:rPr>
        <w:t xml:space="preserve"> Additive </w:t>
      </w:r>
      <w:proofErr w:type="spellStart"/>
      <w:r>
        <w:rPr>
          <w:rFonts w:ascii="宋体" w:eastAsia="宋体" w:hAnsi="宋体" w:hint="eastAsia"/>
          <w:b/>
          <w:sz w:val="24"/>
          <w:szCs w:val="32"/>
        </w:rPr>
        <w:t>exPlanations</w:t>
      </w:r>
      <w:proofErr w:type="spellEnd"/>
      <w:r>
        <w:rPr>
          <w:rFonts w:ascii="宋体" w:eastAsia="宋体" w:hAnsi="宋体" w:hint="eastAsia"/>
          <w:b/>
          <w:sz w:val="24"/>
          <w:szCs w:val="32"/>
        </w:rPr>
        <w:t>）框架对随机森林和</w:t>
      </w:r>
      <w:proofErr w:type="spellStart"/>
      <w:r>
        <w:rPr>
          <w:rFonts w:ascii="宋体" w:eastAsia="宋体" w:hAnsi="宋体" w:hint="eastAsia"/>
          <w:b/>
          <w:sz w:val="24"/>
          <w:szCs w:val="32"/>
        </w:rPr>
        <w:t>XGBoost</w:t>
      </w:r>
      <w:proofErr w:type="spellEnd"/>
      <w:r>
        <w:rPr>
          <w:rFonts w:ascii="宋体" w:eastAsia="宋体" w:hAnsi="宋体" w:hint="eastAsia"/>
          <w:b/>
          <w:sz w:val="24"/>
          <w:szCs w:val="32"/>
        </w:rPr>
        <w:t>模型进行可解释性分</w:t>
      </w:r>
      <w:r>
        <w:rPr>
          <w:rFonts w:ascii="宋体" w:eastAsia="宋体" w:hAnsi="宋体" w:hint="eastAsia"/>
          <w:b/>
          <w:sz w:val="24"/>
          <w:szCs w:val="32"/>
        </w:rPr>
        <w:lastRenderedPageBreak/>
        <w:t>析，量化每个软件度量特征对缺陷预测的贡献程度，帮助开发者理解哪些代码特征最可能引发缺陷，将黑盒模型的预测转化为可操作的代码改进建议。</w:t>
      </w:r>
    </w:p>
    <w:p w14:paraId="00FB5812" w14:textId="54669E05" w:rsidR="00454334" w:rsidRDefault="00A4467E" w:rsidP="00454334">
      <w:pPr>
        <w:pStyle w:val="ab"/>
        <w:widowControl/>
        <w:numPr>
          <w:ilvl w:val="0"/>
          <w:numId w:val="7"/>
        </w:numPr>
        <w:ind w:firstLineChars="0"/>
        <w:jc w:val="left"/>
        <w:rPr>
          <w:rFonts w:ascii="宋体" w:eastAsia="宋体" w:hAnsi="宋体" w:hint="eastAsia"/>
          <w:b/>
          <w:sz w:val="24"/>
          <w:szCs w:val="32"/>
        </w:rPr>
      </w:pPr>
      <w:r>
        <w:rPr>
          <w:rFonts w:ascii="宋体" w:eastAsia="宋体" w:hAnsi="宋体" w:hint="eastAsia"/>
          <w:b/>
          <w:sz w:val="24"/>
          <w:szCs w:val="32"/>
        </w:rPr>
        <w:t>本项目所参考/基于的论文或项目来源</w:t>
      </w:r>
      <w:r>
        <w:rPr>
          <w:rFonts w:ascii="宋体" w:eastAsia="宋体" w:hAnsi="宋体" w:hint="eastAsia"/>
          <w:b/>
          <w:sz w:val="24"/>
          <w:szCs w:val="32"/>
        </w:rPr>
        <w:br/>
      </w:r>
      <w:r>
        <w:rPr>
          <w:rFonts w:ascii="宋体" w:eastAsia="宋体" w:hAnsi="宋体" w:hint="eastAsia"/>
          <w:b/>
          <w:sz w:val="24"/>
          <w:szCs w:val="32"/>
        </w:rPr>
        <w:br/>
        <w:t>【参考论文】</w:t>
      </w:r>
      <w:r>
        <w:rPr>
          <w:rFonts w:ascii="宋体" w:eastAsia="宋体" w:hAnsi="宋体" w:hint="eastAsia"/>
          <w:b/>
          <w:sz w:val="24"/>
          <w:szCs w:val="32"/>
        </w:rPr>
        <w:br/>
        <w:t>1. Mustaqeem, M., Alam, S., et al. (2025). "Comprehensive Bibliographic Survey and Forward-Looking Recommendations for Software Defect Prediction: Datasets, Validation Methodologies, Prediction Approaches, and Tools." IEEE Access. 该论文系统综述了79篇软件缺陷预测研究，覆盖了2011-2023年的文献，为项目提供了全面方法论指导。</w:t>
      </w:r>
      <w:r>
        <w:rPr>
          <w:rFonts w:ascii="宋体" w:eastAsia="宋体" w:hAnsi="宋体" w:hint="eastAsia"/>
          <w:b/>
          <w:sz w:val="24"/>
          <w:szCs w:val="32"/>
        </w:rPr>
        <w:br/>
      </w:r>
      <w:r>
        <w:rPr>
          <w:rFonts w:ascii="宋体" w:eastAsia="宋体" w:hAnsi="宋体" w:hint="eastAsia"/>
          <w:b/>
          <w:sz w:val="24"/>
          <w:szCs w:val="32"/>
        </w:rPr>
        <w:br/>
        <w:t>2. Shepperd, M., Song, Q., Sun, Z., &amp; Mair, C. (2013). "Data Quality: Some Comments on the NASA Software Defect Datasets." IEEE Transactions on Software Engineering, 39(9), 1208-1215. 该论文指出了NASA MDP数据集中的数据质量问题（重复记录等），指导了本项目的数据预处理和清洗策略。</w:t>
      </w:r>
      <w:r>
        <w:rPr>
          <w:rFonts w:ascii="宋体" w:eastAsia="宋体" w:hAnsi="宋体" w:hint="eastAsia"/>
          <w:b/>
          <w:sz w:val="24"/>
          <w:szCs w:val="32"/>
        </w:rPr>
        <w:br/>
      </w:r>
      <w:r>
        <w:rPr>
          <w:rFonts w:ascii="宋体" w:eastAsia="宋体" w:hAnsi="宋体" w:hint="eastAsia"/>
          <w:b/>
          <w:sz w:val="24"/>
          <w:szCs w:val="32"/>
        </w:rPr>
        <w:br/>
        <w:t xml:space="preserve">3. "Machine Learning Approaches in Software Fault Prediction: A Review" (2026). </w:t>
      </w:r>
      <w:proofErr w:type="spellStart"/>
      <w:r>
        <w:rPr>
          <w:rFonts w:ascii="宋体" w:eastAsia="宋体" w:hAnsi="宋体" w:hint="eastAsia"/>
          <w:b/>
          <w:sz w:val="24"/>
          <w:szCs w:val="32"/>
        </w:rPr>
        <w:t>Cureus</w:t>
      </w:r>
      <w:proofErr w:type="spellEnd"/>
      <w:r>
        <w:rPr>
          <w:rFonts w:ascii="宋体" w:eastAsia="宋体" w:hAnsi="宋体" w:hint="eastAsia"/>
          <w:b/>
          <w:sz w:val="24"/>
          <w:szCs w:val="32"/>
        </w:rPr>
        <w:t xml:space="preserve"> Journal. 该综述覆盖了2023-2025年的45篇文献，确认了SVM（42.22%的研究使用）和Random Forest（35.56%）在当前软件缺陷预测研究中的主流地位，同时指出Accuracy和F1-Score是最常用的评估指标。</w:t>
      </w:r>
      <w:r>
        <w:rPr>
          <w:rFonts w:ascii="宋体" w:eastAsia="宋体" w:hAnsi="宋体" w:hint="eastAsia"/>
          <w:b/>
          <w:sz w:val="24"/>
          <w:szCs w:val="32"/>
        </w:rPr>
        <w:br/>
      </w:r>
      <w:r>
        <w:rPr>
          <w:rFonts w:ascii="宋体" w:eastAsia="宋体" w:hAnsi="宋体" w:hint="eastAsia"/>
          <w:b/>
          <w:sz w:val="24"/>
          <w:szCs w:val="32"/>
        </w:rPr>
        <w:br/>
        <w:t xml:space="preserve">4. "A Comparative Analysis of Techniques, Datasets, Feature Selection Methods, and Evaluation Metrics in Software Fault Prediction" (2025). </w:t>
      </w:r>
      <w:proofErr w:type="spellStart"/>
      <w:r>
        <w:rPr>
          <w:rFonts w:ascii="宋体" w:eastAsia="宋体" w:hAnsi="宋体" w:hint="eastAsia"/>
          <w:b/>
          <w:sz w:val="24"/>
          <w:szCs w:val="32"/>
        </w:rPr>
        <w:t>Zenodo</w:t>
      </w:r>
      <w:proofErr w:type="spellEnd"/>
      <w:r>
        <w:rPr>
          <w:rFonts w:ascii="宋体" w:eastAsia="宋体" w:hAnsi="宋体" w:hint="eastAsia"/>
          <w:b/>
          <w:sz w:val="24"/>
          <w:szCs w:val="32"/>
        </w:rPr>
        <w:t>. 该论文对比了多种软件缺陷预测技术的效果，为本项目的多模型对比实验设计提供了参考。</w:t>
      </w:r>
      <w:r>
        <w:rPr>
          <w:rFonts w:ascii="宋体" w:eastAsia="宋体" w:hAnsi="宋体" w:hint="eastAsia"/>
          <w:b/>
          <w:sz w:val="24"/>
          <w:szCs w:val="32"/>
        </w:rPr>
        <w:br/>
      </w:r>
      <w:r>
        <w:rPr>
          <w:rFonts w:ascii="宋体" w:eastAsia="宋体" w:hAnsi="宋体" w:hint="eastAsia"/>
          <w:b/>
          <w:sz w:val="24"/>
          <w:szCs w:val="32"/>
        </w:rPr>
        <w:br/>
        <w:t>【数据集来源】</w:t>
      </w:r>
      <w:r>
        <w:rPr>
          <w:rFonts w:ascii="宋体" w:eastAsia="宋体" w:hAnsi="宋体" w:hint="eastAsia"/>
          <w:b/>
          <w:sz w:val="24"/>
          <w:szCs w:val="32"/>
        </w:rPr>
        <w:br/>
        <w:t>5. NASA MDP (Metrics Data Program) / PROMISE Repository. 本项目使用的JM1、KC1、PC1数据集来自NASA的软件度量数据项目，通过PROMISE软件工程仓库公开发布。每份数据包含21个软件度量特征（McCabe圈复杂度、Halstead度量、代码行数等）和一个缺陷标签。</w:t>
      </w:r>
      <w:r>
        <w:rPr>
          <w:rFonts w:ascii="宋体" w:eastAsia="宋体" w:hAnsi="宋体" w:hint="eastAsia"/>
          <w:b/>
          <w:sz w:val="24"/>
          <w:szCs w:val="32"/>
        </w:rPr>
        <w:br/>
      </w:r>
      <w:r>
        <w:rPr>
          <w:rFonts w:ascii="宋体" w:eastAsia="宋体" w:hAnsi="宋体" w:hint="eastAsia"/>
          <w:b/>
          <w:sz w:val="24"/>
          <w:szCs w:val="32"/>
        </w:rPr>
        <w:br/>
        <w:t>【参考开源项目】</w:t>
      </w:r>
      <w:r>
        <w:rPr>
          <w:rFonts w:ascii="宋体" w:eastAsia="宋体" w:hAnsi="宋体" w:hint="eastAsia"/>
          <w:b/>
          <w:sz w:val="24"/>
          <w:szCs w:val="32"/>
        </w:rPr>
        <w:br/>
        <w:t xml:space="preserve">6. </w:t>
      </w:r>
      <w:proofErr w:type="spellStart"/>
      <w:r>
        <w:rPr>
          <w:rFonts w:ascii="宋体" w:eastAsia="宋体" w:hAnsi="宋体" w:hint="eastAsia"/>
          <w:b/>
          <w:sz w:val="24"/>
          <w:szCs w:val="32"/>
        </w:rPr>
        <w:t>ApoorvaKrisna</w:t>
      </w:r>
      <w:proofErr w:type="spellEnd"/>
      <w:r>
        <w:rPr>
          <w:rFonts w:ascii="宋体" w:eastAsia="宋体" w:hAnsi="宋体" w:hint="eastAsia"/>
          <w:b/>
          <w:sz w:val="24"/>
          <w:szCs w:val="32"/>
        </w:rPr>
        <w:t>/NASA-promise-dataset-repository (GitHub). 提供了NASA MDP数据集的CSV和ARFF格式副本，本项目的数据集直接来源于该仓库。</w:t>
      </w:r>
      <w:r>
        <w:rPr>
          <w:rFonts w:ascii="宋体" w:eastAsia="宋体" w:hAnsi="宋体" w:hint="eastAsia"/>
          <w:b/>
          <w:sz w:val="24"/>
          <w:szCs w:val="32"/>
        </w:rPr>
        <w:br/>
      </w:r>
      <w:r>
        <w:rPr>
          <w:rFonts w:ascii="宋体" w:eastAsia="宋体" w:hAnsi="宋体" w:hint="eastAsia"/>
          <w:b/>
          <w:sz w:val="24"/>
          <w:szCs w:val="32"/>
        </w:rPr>
        <w:br/>
        <w:t>7. AhmadT5448/software-defect-prediction (GitHub). 展示了使用Random Forest、SVM和Neural Networks进行软件缺陷预测的基</w:t>
      </w:r>
      <w:r>
        <w:rPr>
          <w:rFonts w:ascii="宋体" w:eastAsia="宋体" w:hAnsi="宋体" w:hint="eastAsia"/>
          <w:b/>
          <w:sz w:val="24"/>
          <w:szCs w:val="32"/>
        </w:rPr>
        <w:lastRenderedPageBreak/>
        <w:t>本流程和代码架构。</w:t>
      </w:r>
      <w:r>
        <w:rPr>
          <w:rFonts w:ascii="宋体" w:eastAsia="宋体" w:hAnsi="宋体" w:hint="eastAsia"/>
          <w:b/>
          <w:sz w:val="24"/>
          <w:szCs w:val="32"/>
        </w:rPr>
        <w:br/>
      </w:r>
      <w:r>
        <w:rPr>
          <w:rFonts w:ascii="宋体" w:eastAsia="宋体" w:hAnsi="宋体" w:hint="eastAsia"/>
          <w:b/>
          <w:sz w:val="24"/>
          <w:szCs w:val="32"/>
        </w:rPr>
        <w:br/>
        <w:t>8. kgandhi04/</w:t>
      </w:r>
      <w:proofErr w:type="spellStart"/>
      <w:r>
        <w:rPr>
          <w:rFonts w:ascii="宋体" w:eastAsia="宋体" w:hAnsi="宋体" w:hint="eastAsia"/>
          <w:b/>
          <w:sz w:val="24"/>
          <w:szCs w:val="32"/>
        </w:rPr>
        <w:t>TabNet-BugPredictor</w:t>
      </w:r>
      <w:proofErr w:type="spellEnd"/>
      <w:r>
        <w:rPr>
          <w:rFonts w:ascii="宋体" w:eastAsia="宋体" w:hAnsi="宋体" w:hint="eastAsia"/>
          <w:b/>
          <w:sz w:val="24"/>
          <w:szCs w:val="32"/>
        </w:rPr>
        <w:t xml:space="preserve"> (GitHub). 对比了</w:t>
      </w:r>
      <w:proofErr w:type="spellStart"/>
      <w:r>
        <w:rPr>
          <w:rFonts w:ascii="宋体" w:eastAsia="宋体" w:hAnsi="宋体" w:hint="eastAsia"/>
          <w:b/>
          <w:sz w:val="24"/>
          <w:szCs w:val="32"/>
        </w:rPr>
        <w:t>TabNet</w:t>
      </w:r>
      <w:proofErr w:type="spellEnd"/>
      <w:r>
        <w:rPr>
          <w:rFonts w:ascii="宋体" w:eastAsia="宋体" w:hAnsi="宋体" w:hint="eastAsia"/>
          <w:b/>
          <w:sz w:val="24"/>
          <w:szCs w:val="32"/>
        </w:rPr>
        <w:t>与传统ML模型（</w:t>
      </w:r>
      <w:proofErr w:type="spellStart"/>
      <w:r>
        <w:rPr>
          <w:rFonts w:ascii="宋体" w:eastAsia="宋体" w:hAnsi="宋体" w:hint="eastAsia"/>
          <w:b/>
          <w:sz w:val="24"/>
          <w:szCs w:val="32"/>
        </w:rPr>
        <w:t>XGBoost</w:t>
      </w:r>
      <w:proofErr w:type="spellEnd"/>
      <w:r>
        <w:rPr>
          <w:rFonts w:ascii="宋体" w:eastAsia="宋体" w:hAnsi="宋体" w:hint="eastAsia"/>
          <w:b/>
          <w:sz w:val="24"/>
          <w:szCs w:val="32"/>
        </w:rPr>
        <w:t>、Random Forest、SVM等）在缺陷预测上的表现，启发了本项目的多模型对比实验设计和SMOTE处理策略。</w:t>
      </w:r>
    </w:p>
    <w:p w14:paraId="58BEC9D4" w14:textId="2F3D939A" w:rsidR="00454334" w:rsidRPr="00454334" w:rsidRDefault="00A4467E" w:rsidP="00454334">
      <w:pPr>
        <w:pStyle w:val="ab"/>
        <w:widowControl/>
        <w:numPr>
          <w:ilvl w:val="0"/>
          <w:numId w:val="7"/>
        </w:numPr>
        <w:ind w:firstLineChars="0"/>
        <w:jc w:val="left"/>
        <w:rPr>
          <w:rFonts w:ascii="宋体" w:eastAsia="宋体" w:hAnsi="宋体" w:hint="eastAsia"/>
          <w:b/>
          <w:sz w:val="24"/>
          <w:szCs w:val="32"/>
        </w:rPr>
      </w:pPr>
      <w:r>
        <w:rPr>
          <w:rFonts w:ascii="宋体" w:eastAsia="宋体" w:hAnsi="宋体" w:hint="eastAsia"/>
          <w:b/>
          <w:sz w:val="24"/>
          <w:szCs w:val="32"/>
        </w:rPr>
        <w:t>本项目在参考论文或项目的基础上做了哪些改动？</w:t>
      </w:r>
      <w:r>
        <w:rPr>
          <w:rFonts w:ascii="宋体" w:eastAsia="宋体" w:hAnsi="宋体" w:hint="eastAsia"/>
          <w:b/>
          <w:sz w:val="24"/>
          <w:szCs w:val="32"/>
        </w:rPr>
        <w:br/>
      </w:r>
      <w:r>
        <w:rPr>
          <w:rFonts w:ascii="宋体" w:eastAsia="宋体" w:hAnsi="宋体" w:hint="eastAsia"/>
          <w:b/>
          <w:sz w:val="24"/>
          <w:szCs w:val="32"/>
        </w:rPr>
        <w:br/>
        <w:t>本项目在参考论文和开源项目的基础上，进行了以下改进和扩展：</w:t>
      </w:r>
      <w:r>
        <w:rPr>
          <w:rFonts w:ascii="宋体" w:eastAsia="宋体" w:hAnsi="宋体" w:hint="eastAsia"/>
          <w:b/>
          <w:sz w:val="24"/>
          <w:szCs w:val="32"/>
        </w:rPr>
        <w:br/>
      </w:r>
      <w:r>
        <w:rPr>
          <w:rFonts w:ascii="宋体" w:eastAsia="宋体" w:hAnsi="宋体" w:hint="eastAsia"/>
          <w:b/>
          <w:sz w:val="24"/>
          <w:szCs w:val="32"/>
        </w:rPr>
        <w:br/>
        <w:t>（1）多数据集统一对比框架。参考项目大多仅在单个数据集（如JM1或KC1）上进行实验。本项目同时在JM1、KC1、PC1三个具有不同特征（不同编程语言、不同模块规模、不同缺陷率）的数据集上运行完整流水线，提供了更全面的性能对比视角，能够分析模型在不同场景下的泛化能力和局限性。</w:t>
      </w:r>
      <w:r>
        <w:rPr>
          <w:rFonts w:ascii="宋体" w:eastAsia="宋体" w:hAnsi="宋体" w:hint="eastAsia"/>
          <w:b/>
          <w:sz w:val="24"/>
          <w:szCs w:val="32"/>
        </w:rPr>
        <w:br/>
      </w:r>
      <w:r>
        <w:rPr>
          <w:rFonts w:ascii="宋体" w:eastAsia="宋体" w:hAnsi="宋体" w:hint="eastAsia"/>
          <w:b/>
          <w:sz w:val="24"/>
          <w:szCs w:val="32"/>
        </w:rPr>
        <w:br/>
        <w:t>（2）引入SHAP可解释性分析。现有的参考项目主要关注模型的预测准确率，缺乏对模型决策过程的可解释性分析。本项目集成了SHAP（</w:t>
      </w:r>
      <w:proofErr w:type="spellStart"/>
      <w:r>
        <w:rPr>
          <w:rFonts w:ascii="宋体" w:eastAsia="宋体" w:hAnsi="宋体" w:hint="eastAsia"/>
          <w:b/>
          <w:sz w:val="24"/>
          <w:szCs w:val="32"/>
        </w:rPr>
        <w:t>SHapley</w:t>
      </w:r>
      <w:proofErr w:type="spellEnd"/>
      <w:r>
        <w:rPr>
          <w:rFonts w:ascii="宋体" w:eastAsia="宋体" w:hAnsi="宋体" w:hint="eastAsia"/>
          <w:b/>
          <w:sz w:val="24"/>
          <w:szCs w:val="32"/>
        </w:rPr>
        <w:t xml:space="preserve"> Additive </w:t>
      </w:r>
      <w:proofErr w:type="spellStart"/>
      <w:r>
        <w:rPr>
          <w:rFonts w:ascii="宋体" w:eastAsia="宋体" w:hAnsi="宋体" w:hint="eastAsia"/>
          <w:b/>
          <w:sz w:val="24"/>
          <w:szCs w:val="32"/>
        </w:rPr>
        <w:t>exPlanations</w:t>
      </w:r>
      <w:proofErr w:type="spellEnd"/>
      <w:r>
        <w:rPr>
          <w:rFonts w:ascii="宋体" w:eastAsia="宋体" w:hAnsi="宋体" w:hint="eastAsia"/>
          <w:b/>
          <w:sz w:val="24"/>
          <w:szCs w:val="32"/>
        </w:rPr>
        <w:t>）框架，对随机森林和</w:t>
      </w:r>
      <w:proofErr w:type="spellStart"/>
      <w:r>
        <w:rPr>
          <w:rFonts w:ascii="宋体" w:eastAsia="宋体" w:hAnsi="宋体" w:hint="eastAsia"/>
          <w:b/>
          <w:sz w:val="24"/>
          <w:szCs w:val="32"/>
        </w:rPr>
        <w:t>XGBoost</w:t>
      </w:r>
      <w:proofErr w:type="spellEnd"/>
      <w:r>
        <w:rPr>
          <w:rFonts w:ascii="宋体" w:eastAsia="宋体" w:hAnsi="宋体" w:hint="eastAsia"/>
          <w:b/>
          <w:sz w:val="24"/>
          <w:szCs w:val="32"/>
        </w:rPr>
        <w:t>模型进行可解释性分析，量化了每个软件度量特征对缺陷预测的贡献程度和方向，使模型不再是"黑盒"，为开发者提供了可操作的代码质量改进建议。</w:t>
      </w:r>
      <w:r>
        <w:rPr>
          <w:rFonts w:ascii="宋体" w:eastAsia="宋体" w:hAnsi="宋体" w:hint="eastAsia"/>
          <w:b/>
          <w:sz w:val="24"/>
          <w:szCs w:val="32"/>
        </w:rPr>
        <w:br/>
      </w:r>
      <w:r>
        <w:rPr>
          <w:rFonts w:ascii="宋体" w:eastAsia="宋体" w:hAnsi="宋体" w:hint="eastAsia"/>
          <w:b/>
          <w:sz w:val="24"/>
          <w:szCs w:val="32"/>
        </w:rPr>
        <w:br/>
        <w:t>（3）更完善的评估指标体系。参考项目大多仅使用Accuracy、Precision、Recall、F1等基本指标。本项目增加了MCC（Matthews Correlation Coefficient）指标——该指标被软件缺陷预测领域的最新综述推荐为不平衡数据集的更可靠评估标准，因为它同时考虑了TP、TN、FP、FN四个维度。同时引入了ROC-AUC评估模型的整体区分能力。</w:t>
      </w:r>
      <w:r>
        <w:rPr>
          <w:rFonts w:ascii="宋体" w:eastAsia="宋体" w:hAnsi="宋体" w:hint="eastAsia"/>
          <w:b/>
          <w:sz w:val="24"/>
          <w:szCs w:val="32"/>
        </w:rPr>
        <w:br/>
      </w:r>
      <w:r>
        <w:rPr>
          <w:rFonts w:ascii="宋体" w:eastAsia="宋体" w:hAnsi="宋体" w:hint="eastAsia"/>
          <w:b/>
          <w:sz w:val="24"/>
          <w:szCs w:val="32"/>
        </w:rPr>
        <w:br/>
        <w:t>（4）模块化的代码架构。参考项目多为单文件</w:t>
      </w:r>
      <w:proofErr w:type="spellStart"/>
      <w:r>
        <w:rPr>
          <w:rFonts w:ascii="宋体" w:eastAsia="宋体" w:hAnsi="宋体" w:hint="eastAsia"/>
          <w:b/>
          <w:sz w:val="24"/>
          <w:szCs w:val="32"/>
        </w:rPr>
        <w:t>Jupyter</w:t>
      </w:r>
      <w:proofErr w:type="spellEnd"/>
      <w:r>
        <w:rPr>
          <w:rFonts w:ascii="宋体" w:eastAsia="宋体" w:hAnsi="宋体" w:hint="eastAsia"/>
          <w:b/>
          <w:sz w:val="24"/>
          <w:szCs w:val="32"/>
        </w:rPr>
        <w:t xml:space="preserve"> Notebook或脚本，代码耦合度高。本项目采用模块化设计，将数据加载（data_loader.py）、预处理（preprocess.py）、模型训练（models.py）、评估可视化（evaluate.py）和SHAP分析（shap_analysis.py）分离为独立模块，通过main.py统一调度，符合软件工程的高内聚低耦合原则，便于单元测试、功能扩展和代码复用。</w:t>
      </w:r>
      <w:r>
        <w:rPr>
          <w:rFonts w:ascii="宋体" w:eastAsia="宋体" w:hAnsi="宋体" w:hint="eastAsia"/>
          <w:b/>
          <w:sz w:val="24"/>
          <w:szCs w:val="32"/>
        </w:rPr>
        <w:br/>
      </w:r>
      <w:r>
        <w:rPr>
          <w:rFonts w:ascii="宋体" w:eastAsia="宋体" w:hAnsi="宋体" w:hint="eastAsia"/>
          <w:b/>
          <w:sz w:val="24"/>
          <w:szCs w:val="32"/>
        </w:rPr>
        <w:br/>
        <w:t>（5）自动化端到端流水线。通过main.py实现了从数据下载到结果输出的端到端自动化流水线，支持命令行参数配置（--datasets选择数据集、--no-smote禁用SMOTE、--tune启用超参数调优），提高了实验的可复现性和易用性，使研究者能够通过一条命令复现全部实验。</w:t>
      </w:r>
    </w:p>
    <w:p w14:paraId="05D439FD" w14:textId="5B958BCF" w:rsidR="009E3910" w:rsidRPr="009E3910" w:rsidRDefault="009E3910" w:rsidP="009E3910">
      <w:pPr>
        <w:pStyle w:val="ab"/>
        <w:widowControl/>
        <w:ind w:left="720" w:firstLineChars="0" w:firstLine="0"/>
        <w:jc w:val="left"/>
        <w:rPr>
          <w:rFonts w:ascii="宋体" w:eastAsia="宋体" w:hAnsi="宋体" w:hint="eastAsia"/>
          <w:b/>
          <w:sz w:val="32"/>
          <w:szCs w:val="32"/>
        </w:rPr>
      </w:pPr>
      <w:r w:rsidRPr="009E3910">
        <w:rPr>
          <w:rFonts w:ascii="宋体" w:eastAsia="宋体" w:hAnsi="宋体" w:hint="eastAsia"/>
          <w:b/>
          <w:sz w:val="32"/>
          <w:szCs w:val="32"/>
        </w:rPr>
        <w:tab/>
      </w:r>
    </w:p>
    <w:p w14:paraId="4CDDA8C7" w14:textId="795EFDE5" w:rsidR="009E3910" w:rsidRPr="009E3910" w:rsidRDefault="00454334" w:rsidP="009E3910">
      <w:pPr>
        <w:pStyle w:val="ab"/>
        <w:widowControl/>
        <w:numPr>
          <w:ilvl w:val="0"/>
          <w:numId w:val="4"/>
        </w:numPr>
        <w:spacing w:line="720" w:lineRule="auto"/>
        <w:ind w:firstLineChars="0"/>
        <w:jc w:val="left"/>
        <w:rPr>
          <w:rFonts w:ascii="宋体" w:eastAsia="宋体" w:hAnsi="宋体" w:hint="eastAsia"/>
          <w:b/>
          <w:sz w:val="32"/>
          <w:szCs w:val="32"/>
        </w:rPr>
      </w:pPr>
      <w:r>
        <w:rPr>
          <w:rFonts w:ascii="宋体" w:eastAsia="宋体" w:hAnsi="宋体" w:hint="eastAsia"/>
          <w:b/>
          <w:sz w:val="32"/>
          <w:szCs w:val="32"/>
        </w:rPr>
        <w:t>实验结果</w:t>
        <w:br/>
        <w:br/>
        <w:t>实验在三个NASA MDP数据集上分别进行，每个数据集按7:3比例划分训练集和测试集（stratify分层采样保持类别比例），使用SMOTE处理训练集类别不平衡，使用StandardScaler标准化特征。以下为各数据集的详细实验结果与分析。</w:t>
        <w:br/>
        <w:br/>
        <w:t>━━━━━━━━━━━━━━━━━━━━━━━━━━━━━━━━</w:t>
        <w:br/>
        <w:t>【JM1 数据集】（C语言实时地面系统，8,908条，缺陷率22.50%）</w:t>
        <w:br/>
        <w:t>━━━━━━━━━━━━━━━━━━━━━━━━━━━━━━━━</w:t>
        <w:br/>
        <w:br/>
        <w:t>JM1是规模最大的数据集，训练集经SMOTE平衡后为9,664条。各模型表现如下：</w:t>
        <w:br/>
        <w:t xml:space="preserve">  • Logistic Regression: Accuracy=0.7074, Precision=0.3832, Recall=0.4942, F1=0.4317, MCC=0.2424, AUC=0.6897</w:t>
        <w:br/>
        <w:t xml:space="preserve">  • SVM: Accuracy=0.6876, Precision=0.3685, Recall=0.5458, F1=0.4400, MCC=0.2432, AUC=0.6952</w:t>
        <w:br/>
        <w:t xml:space="preserve">  • Random Forest: Accuracy=0.7299, Precision=0.4104, Recall=0.4609, F1=0.4342, MCC=0.2583, AUC=0.6993</w:t>
        <w:br/>
        <w:t xml:space="preserve">  • XGBoost: Accuracy=0.7643, Precision=0.4621, Recall=0.2945, F1=0.3598, MCC=0.2325, AUC=0.6869</w:t>
        <w:br/>
        <w:br/>
        <w:t>分析：SVM在F1-Score上表现最佳（0.4400），XGBoost在Accuracy上最高（0.7643）。XGBoost偏向保守（高Precision低Recall），SVM偏向激进（高Recall低Precision）。Random Forest综合表现最为均衡。各模型ROC-AUC在0.68~0.70之间，说明模型具有一定的区分能力但仍有较大提升空间。</w:t>
        <w:br/>
        <w:br/>
        <w:t>━━━━━━━━━━━━━━━━━━━━━━━━━━━━━━━━</w:t>
        <w:br/>
        <w:t>【KC1 数据集】（C++存储管理系统，1,212条，缺陷率25.99%）</w:t>
        <w:br/>
        <w:t>━━━━━━━━━━━━━━━━━━━━━━━━━━━━━━━━</w:t>
        <w:br/>
        <w:br/>
        <w:t>KC1数据集规模最小，训练集经SMOTE平衡后为1,256条。各模型表现如下：</w:t>
        <w:br/>
        <w:t xml:space="preserve">  • Logistic Regression: Accuracy=0.6593, Precision=0.3840, Recall=0.5053, F1=0.4364, MCC=0.2026, AUC=0.6334</w:t>
        <w:br/>
        <w:t xml:space="preserve">  • SVM: Accuracy=0.6676, Precision=0.3774, Recall=0.4211, F1=0.3980, MCC=0.1698, AUC=0.6330</w:t>
        <w:br/>
        <w:t xml:space="preserve">  • Random Forest: Accuracy=0.7115, Precision=0.4444, Recall=0.4211, F1=0.4324, MCC=0.2394, AUC=0.6680</w:t>
        <w:br/>
        <w:t xml:space="preserve">  • XGBoost: Accuracy=0.7088, Precision=0.4321, Recall=0.3684, F1=0.3977, MCC=0.2084, AUC=0.6481</w:t>
        <w:br/>
        <w:br/>
        <w:t>分析：Logistic Regression取得了最高的F1-Score（0.4364）和Recall（0.5053）。Random Forest在Accuracy和MCC上领先（0.7115, 0.2394）。KC1的总体性能低于JM1，主要原因是训练数据量较少（仅1,256条），模型难以充分学习缺陷模式。</w:t>
        <w:br/>
        <w:br/>
        <w:t>━━━━━━━━━━━━━━━━━━━━━━━━━━━━━━━━</w:t>
        <w:br/>
        <w:t>【PC1 数据集】（C语言卫星飞行软件，954条，缺陷率7.34%）</w:t>
        <w:br/>
        <w:t>━━━━━━━━━━━━━━━━━━━━━━━━━━━━━━━━</w:t>
        <w:br/>
        <w:br/>
        <w:t>PC1缺陷率极低，是典型的不平衡分类场景。训练集经SMOTE平衡后为1,236条。各模型表现如下：</w:t>
        <w:br/>
        <w:t xml:space="preserve">  • Logistic Regression: Accuracy=0.8014, Precision=0.2429, Recall=0.8095, F1=0.3736, MCC=0.3701, AUC=0.8919</w:t>
        <w:br/>
        <w:t xml:space="preserve">  • SVM: Accuracy=0.7875, Precision=0.2059, Recall=0.6667, F1=0.3146, MCC=0.2840, AUC=0.8233</w:t>
        <w:br/>
        <w:t xml:space="preserve">  • Random Forest: Accuracy=0.8815, Precision=0.3243, Recall=0.5714, F1=0.4138, MCC=0.3710, AUC=0.8476</w:t>
        <w:br/>
        <w:t xml:space="preserve">  • XGBoost: Accuracy=0.9024, Precision=0.3600, Recall=0.4286, F1=0.3913, MCC=0.3402, AUC=0.8416</w:t>
        <w:br/>
        <w:br/>
        <w:t>分析：虽然XGBoost的Accuracy达到0.9024，但在此极端不平衡场景下Accuracy意义有限（简单预测全部为"无缺陷"即可获得92.66%的准确率）。Logistic Regression取得了最高的Recall（0.8095），能够找出80%以上的缺陷模块，但Precision较低（0.2429），存在较多误报。Random Forest在F1和MCC上表现最佳（0.4138, 0.3710），是PC1上的推荐模型。Logistic Regression的ROC-AUC高达0.8919，说明线性模型在该数据集上有较好的排序能力。</w:t>
        <w:br/>
        <w:br/>
        <w:t>━━━━━━━━━━━━━━━━━━━━━━━━━━━━━━━━</w:t>
        <w:br/>
        <w:t>【特征重要性分析】</w:t>
        <w:br/>
        <w:t>━━━━━━━━━━━━━━━━━━━━━━━━━━━━━━━━</w:t>
        <w:br/>
        <w:br/>
        <w:t>三个数据集上的特征重要性分析呈现出一定的一致性。代码空白行数（loblank）在多个模型中稳定排名前三，这一发现与软件工程直觉相符——模块中包含大量空白行通常意味着代码逻辑较为复杂、函数体较长。设计复杂度iv(g)和圈复杂度v(g)作为McCabe度量的代表，在JM1和KC1数据集上都是Top特征。Halstead编程工作量（e）和唯一操作数数量（uniq_opnd）也是最频繁出现的预测因子。</w:t>
        <w:br/>
        <w:br/>
        <w:t>SHAP可解释性分析进一步验证了上述发现。以随机森林模型为例，loblank的高SHAP值意味着该特征对"有缺陷"预测有显著的正向贡献；iv(g)和v(g)的SHAP分布呈现出明显的单调趋势——度量值越高，缺陷预测概率越大。SHAP摘要图和条形图为开发者理解模型的决策边界提供了直观依据，使得"高复杂度→高缺陷风险"这一直观认知得到了定量验证。</w:t>
        <w:br/>
        <w:br/>
        <w:t>以下为本实验生成的主要可视化图表，均在results/figures/目录下：</w:t>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roofErr w:type="spellStart"/>
      <w:r>
        <w:rPr>
          <w:rFonts w:ascii="宋体" w:eastAsia="宋体" w:hAnsi="宋体" w:hint="eastAsia"/>
          <w:b/>
          <w:sz w:val="32"/>
          <w:szCs w:val="32"/>
        </w:rPr>
      </w:r>
      <w:proofErr w:type="spellEnd"/>
      <w:r>
        <w:rPr>
          <w:rFonts w:ascii="宋体" w:eastAsia="宋体" w:hAnsi="宋体" w:hint="eastAsia"/>
          <w:b/>
          <w:sz w:val="32"/>
          <w:szCs w:val="32"/>
        </w:rPr>
      </w:r>
      <w:r>
        <w:rPr>
          <w:rFonts w:ascii="宋体" w:eastAsia="宋体" w:hAnsi="宋体" w:hint="eastAsia"/>
          <w:b/>
          <w:sz w:val="32"/>
          <w:szCs w:val="32"/>
        </w:rPr>
      </w:r>
      <w:r>
        <w:rPr>
          <w:rFonts w:ascii="宋体" w:eastAsia="宋体" w:hAnsi="宋体" w:hint="eastAsia"/>
          <w:b/>
          <w:sz w:val="32"/>
          <w:szCs w:val="32"/>
        </w:rPr>
      </w:r>
    </w:p>
    <w:p>
      <w:pPr>
        <w:spacing w:before="120" w:after="0"/>
      </w:pPr>
    </w:p>
    <w:p>
      <w:pPr>
        <w:spacing w:before="40" w:after="40"/>
        <w:jc w:val="center"/>
      </w:pPr>
      <w:r>
        <w:drawing>
          <wp:inline xmlns:a="http://schemas.openxmlformats.org/drawingml/2006/main" xmlns:pic="http://schemas.openxmlformats.org/drawingml/2006/picture">
            <wp:extent cx="5303520" cy="1465083"/>
            <wp:docPr id="6" name="Picture 6"/>
            <wp:cNvGraphicFramePr>
              <a:graphicFrameLocks noChangeAspect="1"/>
            </wp:cNvGraphicFramePr>
            <a:graphic>
              <a:graphicData uri="http://schemas.openxmlformats.org/drawingml/2006/picture">
                <pic:pic>
                  <pic:nvPicPr>
                    <pic:cNvPr id="0" name="dataset_overview.png"/>
                    <pic:cNvPicPr/>
                  </pic:nvPicPr>
                  <pic:blipFill>
                    <a:blip r:embed="rId11"/>
                    <a:stretch>
                      <a:fillRect/>
                    </a:stretch>
                  </pic:blipFill>
                  <pic:spPr>
                    <a:xfrm>
                      <a:off x="0" y="0"/>
                      <a:ext cx="5303520" cy="1465083"/>
                    </a:xfrm>
                    <a:prstGeom prst="rect"/>
                  </pic:spPr>
                </pic:pic>
              </a:graphicData>
            </a:graphic>
          </wp:inline>
        </w:drawing>
      </w:r>
    </w:p>
    <w:p>
      <w:pPr>
        <w:spacing w:before="40" w:after="160"/>
        <w:jc w:val="center"/>
      </w:pPr>
      <w:r>
        <w:rPr>
          <w:i/>
          <w:color w:val="505050"/>
          <w:sz w:val="18"/>
        </w:rPr>
        <w:t>图1  三个数据集的样本量、缺陷分布与缺陷率概览</w:t>
      </w:r>
    </w:p>
    <w:p>
      <w:pPr>
        <w:spacing w:before="120" w:after="0"/>
      </w:pPr>
    </w:p>
    <w:p>
      <w:pPr>
        <w:spacing w:before="40" w:after="40"/>
        <w:jc w:val="center"/>
      </w:pPr>
      <w:r>
        <w:drawing>
          <wp:inline xmlns:a="http://schemas.openxmlformats.org/drawingml/2006/main" xmlns:pic="http://schemas.openxmlformats.org/drawingml/2006/picture">
            <wp:extent cx="5303520" cy="1715975"/>
            <wp:docPr id="7" name="Picture 7"/>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5303520" cy="1715975"/>
                    </a:xfrm>
                    <a:prstGeom prst="rect"/>
                  </pic:spPr>
                </pic:pic>
              </a:graphicData>
            </a:graphic>
          </wp:inline>
        </w:drawing>
      </w:r>
    </w:p>
    <w:p>
      <w:pPr>
        <w:spacing w:before="40" w:after="160"/>
        <w:jc w:val="center"/>
      </w:pPr>
      <w:r>
        <w:rPr>
          <w:i/>
          <w:color w:val="505050"/>
          <w:sz w:val="18"/>
        </w:rPr>
        <w:t>图2  各数据集类别分布饼图（绿色=无缺陷，红色=有缺陷）</w:t>
      </w:r>
    </w:p>
    <w:p>
      <w:pPr>
        <w:spacing w:before="120" w:after="0"/>
      </w:pPr>
    </w:p>
    <w:p>
      <w:pPr>
        <w:spacing w:before="40" w:after="40"/>
        <w:jc w:val="center"/>
      </w:pPr>
      <w:r>
        <w:drawing>
          <wp:inline xmlns:a="http://schemas.openxmlformats.org/drawingml/2006/main" xmlns:pic="http://schemas.openxmlformats.org/drawingml/2006/picture">
            <wp:extent cx="5029200" cy="2073665"/>
            <wp:docPr id="8" name="Picture 8"/>
            <wp:cNvGraphicFramePr>
              <a:graphicFrameLocks noChangeAspect="1"/>
            </wp:cNvGraphicFramePr>
            <a:graphic>
              <a:graphicData uri="http://schemas.openxmlformats.org/drawingml/2006/picture">
                <pic:pic>
                  <pic:nvPicPr>
                    <pic:cNvPr id="0" name="JM1_metrics_comparison.png"/>
                    <pic:cNvPicPr/>
                  </pic:nvPicPr>
                  <pic:blipFill>
                    <a:blip r:embed="rId13"/>
                    <a:stretch>
                      <a:fillRect/>
                    </a:stretch>
                  </pic:blipFill>
                  <pic:spPr>
                    <a:xfrm>
                      <a:off x="0" y="0"/>
                      <a:ext cx="5029200" cy="2073665"/>
                    </a:xfrm>
                    <a:prstGeom prst="rect"/>
                  </pic:spPr>
                </pic:pic>
              </a:graphicData>
            </a:graphic>
          </wp:inline>
        </w:drawing>
      </w:r>
    </w:p>
    <w:p>
      <w:pPr>
        <w:spacing w:before="40" w:after="160"/>
        <w:jc w:val="center"/>
      </w:pPr>
      <w:r>
        <w:rPr>
          <w:i/>
          <w:color w:val="505050"/>
          <w:sz w:val="18"/>
        </w:rPr>
        <w:t>图3  JM1数据集：四类模型多指标对比</w:t>
      </w:r>
    </w:p>
    <w:p>
      <w:pPr>
        <w:spacing w:before="120" w:after="0"/>
      </w:pPr>
    </w:p>
    <w:p>
      <w:pPr>
        <w:spacing w:before="40" w:after="40"/>
        <w:jc w:val="center"/>
      </w:pPr>
      <w:r>
        <w:drawing>
          <wp:inline xmlns:a="http://schemas.openxmlformats.org/drawingml/2006/main" xmlns:pic="http://schemas.openxmlformats.org/drawingml/2006/picture">
            <wp:extent cx="5303520" cy="1151565"/>
            <wp:docPr id="9" name="Picture 9"/>
            <wp:cNvGraphicFramePr>
              <a:graphicFrameLocks noChangeAspect="1"/>
            </wp:cNvGraphicFramePr>
            <a:graphic>
              <a:graphicData uri="http://schemas.openxmlformats.org/drawingml/2006/picture">
                <pic:pic>
                  <pic:nvPicPr>
                    <pic:cNvPr id="0" name="JM1_confusion_matrix.png"/>
                    <pic:cNvPicPr/>
                  </pic:nvPicPr>
                  <pic:blipFill>
                    <a:blip r:embed="rId14"/>
                    <a:stretch>
                      <a:fillRect/>
                    </a:stretch>
                  </pic:blipFill>
                  <pic:spPr>
                    <a:xfrm>
                      <a:off x="0" y="0"/>
                      <a:ext cx="5303520" cy="1151565"/>
                    </a:xfrm>
                    <a:prstGeom prst="rect"/>
                  </pic:spPr>
                </pic:pic>
              </a:graphicData>
            </a:graphic>
          </wp:inline>
        </w:drawing>
      </w:r>
    </w:p>
    <w:p>
      <w:pPr>
        <w:spacing w:before="40" w:after="160"/>
        <w:jc w:val="center"/>
      </w:pPr>
      <w:r>
        <w:rPr>
          <w:i/>
          <w:color w:val="505050"/>
          <w:sz w:val="18"/>
        </w:rPr>
        <w:t>图4  JM1数据集：各模型混淆矩阵</w:t>
      </w:r>
    </w:p>
    <w:p>
      <w:pPr>
        <w:spacing w:before="120" w:after="0"/>
      </w:pPr>
    </w:p>
    <w:p>
      <w:pPr>
        <w:spacing w:before="40" w:after="40"/>
        <w:jc w:val="center"/>
      </w:pPr>
      <w:r>
        <w:drawing>
          <wp:inline xmlns:a="http://schemas.openxmlformats.org/drawingml/2006/main" xmlns:pic="http://schemas.openxmlformats.org/drawingml/2006/picture">
            <wp:extent cx="4114800" cy="3076551"/>
            <wp:docPr id="10" name="Picture 10"/>
            <wp:cNvGraphicFramePr>
              <a:graphicFrameLocks noChangeAspect="1"/>
            </wp:cNvGraphicFramePr>
            <a:graphic>
              <a:graphicData uri="http://schemas.openxmlformats.org/drawingml/2006/picture">
                <pic:pic>
                  <pic:nvPicPr>
                    <pic:cNvPr id="0" name="JM1_roc_curves.png"/>
                    <pic:cNvPicPr/>
                  </pic:nvPicPr>
                  <pic:blipFill>
                    <a:blip r:embed="rId15"/>
                    <a:stretch>
                      <a:fillRect/>
                    </a:stretch>
                  </pic:blipFill>
                  <pic:spPr>
                    <a:xfrm>
                      <a:off x="0" y="0"/>
                      <a:ext cx="4114800" cy="3076551"/>
                    </a:xfrm>
                    <a:prstGeom prst="rect"/>
                  </pic:spPr>
                </pic:pic>
              </a:graphicData>
            </a:graphic>
          </wp:inline>
        </w:drawing>
      </w:r>
    </w:p>
    <w:p>
      <w:pPr>
        <w:spacing w:before="40" w:after="160"/>
        <w:jc w:val="center"/>
      </w:pPr>
      <w:r>
        <w:rPr>
          <w:i/>
          <w:color w:val="505050"/>
          <w:sz w:val="18"/>
        </w:rPr>
        <w:t>图5  JM1数据集：各模型ROC曲线</w:t>
      </w:r>
    </w:p>
    <w:p>
      <w:pPr>
        <w:spacing w:before="120" w:after="0"/>
      </w:pPr>
    </w:p>
    <w:p>
      <w:pPr>
        <w:spacing w:before="40" w:after="40"/>
        <w:jc w:val="center"/>
      </w:pPr>
      <w:r>
        <w:drawing>
          <wp:inline xmlns:a="http://schemas.openxmlformats.org/drawingml/2006/main" xmlns:pic="http://schemas.openxmlformats.org/drawingml/2006/picture">
            <wp:extent cx="5029200" cy="2073665"/>
            <wp:docPr id="11" name="Picture 11"/>
            <wp:cNvGraphicFramePr>
              <a:graphicFrameLocks noChangeAspect="1"/>
            </wp:cNvGraphicFramePr>
            <a:graphic>
              <a:graphicData uri="http://schemas.openxmlformats.org/drawingml/2006/picture">
                <pic:pic>
                  <pic:nvPicPr>
                    <pic:cNvPr id="0" name="KC1_metrics_comparison.png"/>
                    <pic:cNvPicPr/>
                  </pic:nvPicPr>
                  <pic:blipFill>
                    <a:blip r:embed="rId16"/>
                    <a:stretch>
                      <a:fillRect/>
                    </a:stretch>
                  </pic:blipFill>
                  <pic:spPr>
                    <a:xfrm>
                      <a:off x="0" y="0"/>
                      <a:ext cx="5029200" cy="2073665"/>
                    </a:xfrm>
                    <a:prstGeom prst="rect"/>
                  </pic:spPr>
                </pic:pic>
              </a:graphicData>
            </a:graphic>
          </wp:inline>
        </w:drawing>
      </w:r>
    </w:p>
    <w:p>
      <w:pPr>
        <w:spacing w:before="40" w:after="160"/>
        <w:jc w:val="center"/>
      </w:pPr>
      <w:r>
        <w:rPr>
          <w:i/>
          <w:color w:val="505050"/>
          <w:sz w:val="18"/>
        </w:rPr>
        <w:t>图6  KC1数据集：四类模型多指标对比</w:t>
      </w:r>
    </w:p>
    <w:p>
      <w:pPr>
        <w:spacing w:before="120" w:after="0"/>
      </w:pPr>
    </w:p>
    <w:p>
      <w:pPr>
        <w:spacing w:before="40" w:after="40"/>
        <w:jc w:val="center"/>
      </w:pPr>
      <w:r>
        <w:drawing>
          <wp:inline xmlns:a="http://schemas.openxmlformats.org/drawingml/2006/main" xmlns:pic="http://schemas.openxmlformats.org/drawingml/2006/picture">
            <wp:extent cx="5303520" cy="1151565"/>
            <wp:docPr id="12" name="Picture 12"/>
            <wp:cNvGraphicFramePr>
              <a:graphicFrameLocks noChangeAspect="1"/>
            </wp:cNvGraphicFramePr>
            <a:graphic>
              <a:graphicData uri="http://schemas.openxmlformats.org/drawingml/2006/picture">
                <pic:pic>
                  <pic:nvPicPr>
                    <pic:cNvPr id="0" name="KC1_confusion_matrix.png"/>
                    <pic:cNvPicPr/>
                  </pic:nvPicPr>
                  <pic:blipFill>
                    <a:blip r:embed="rId17"/>
                    <a:stretch>
                      <a:fillRect/>
                    </a:stretch>
                  </pic:blipFill>
                  <pic:spPr>
                    <a:xfrm>
                      <a:off x="0" y="0"/>
                      <a:ext cx="5303520" cy="1151565"/>
                    </a:xfrm>
                    <a:prstGeom prst="rect"/>
                  </pic:spPr>
                </pic:pic>
              </a:graphicData>
            </a:graphic>
          </wp:inline>
        </w:drawing>
      </w:r>
    </w:p>
    <w:p>
      <w:pPr>
        <w:spacing w:before="40" w:after="160"/>
        <w:jc w:val="center"/>
      </w:pPr>
      <w:r>
        <w:rPr>
          <w:i/>
          <w:color w:val="505050"/>
          <w:sz w:val="18"/>
        </w:rPr>
        <w:t>图7  KC1数据集：各模型混淆矩阵</w:t>
      </w:r>
    </w:p>
    <w:p>
      <w:pPr>
        <w:spacing w:before="120" w:after="0"/>
      </w:pPr>
    </w:p>
    <w:p>
      <w:pPr>
        <w:spacing w:before="40" w:after="40"/>
        <w:jc w:val="center"/>
      </w:pPr>
      <w:r>
        <w:drawing>
          <wp:inline xmlns:a="http://schemas.openxmlformats.org/drawingml/2006/main" xmlns:pic="http://schemas.openxmlformats.org/drawingml/2006/picture">
            <wp:extent cx="4114800" cy="3076551"/>
            <wp:docPr id="13" name="Picture 13"/>
            <wp:cNvGraphicFramePr>
              <a:graphicFrameLocks noChangeAspect="1"/>
            </wp:cNvGraphicFramePr>
            <a:graphic>
              <a:graphicData uri="http://schemas.openxmlformats.org/drawingml/2006/picture">
                <pic:pic>
                  <pic:nvPicPr>
                    <pic:cNvPr id="0" name="KC1_roc_curves.png"/>
                    <pic:cNvPicPr/>
                  </pic:nvPicPr>
                  <pic:blipFill>
                    <a:blip r:embed="rId18"/>
                    <a:stretch>
                      <a:fillRect/>
                    </a:stretch>
                  </pic:blipFill>
                  <pic:spPr>
                    <a:xfrm>
                      <a:off x="0" y="0"/>
                      <a:ext cx="4114800" cy="3076551"/>
                    </a:xfrm>
                    <a:prstGeom prst="rect"/>
                  </pic:spPr>
                </pic:pic>
              </a:graphicData>
            </a:graphic>
          </wp:inline>
        </w:drawing>
      </w:r>
    </w:p>
    <w:p>
      <w:pPr>
        <w:spacing w:before="40" w:after="160"/>
        <w:jc w:val="center"/>
      </w:pPr>
      <w:r>
        <w:rPr>
          <w:i/>
          <w:color w:val="505050"/>
          <w:sz w:val="18"/>
        </w:rPr>
        <w:t>图8  KC1数据集：各模型ROC曲线</w:t>
      </w:r>
    </w:p>
    <w:p>
      <w:pPr>
        <w:spacing w:before="120" w:after="0"/>
      </w:pPr>
    </w:p>
    <w:p>
      <w:pPr>
        <w:spacing w:before="40" w:after="40"/>
        <w:jc w:val="center"/>
      </w:pPr>
      <w:r>
        <w:drawing>
          <wp:inline xmlns:a="http://schemas.openxmlformats.org/drawingml/2006/main" xmlns:pic="http://schemas.openxmlformats.org/drawingml/2006/picture">
            <wp:extent cx="5029200" cy="2073665"/>
            <wp:docPr id="14" name="Picture 14"/>
            <wp:cNvGraphicFramePr>
              <a:graphicFrameLocks noChangeAspect="1"/>
            </wp:cNvGraphicFramePr>
            <a:graphic>
              <a:graphicData uri="http://schemas.openxmlformats.org/drawingml/2006/picture">
                <pic:pic>
                  <pic:nvPicPr>
                    <pic:cNvPr id="0" name="PC1_metrics_comparison.png"/>
                    <pic:cNvPicPr/>
                  </pic:nvPicPr>
                  <pic:blipFill>
                    <a:blip r:embed="rId19"/>
                    <a:stretch>
                      <a:fillRect/>
                    </a:stretch>
                  </pic:blipFill>
                  <pic:spPr>
                    <a:xfrm>
                      <a:off x="0" y="0"/>
                      <a:ext cx="5029200" cy="2073665"/>
                    </a:xfrm>
                    <a:prstGeom prst="rect"/>
                  </pic:spPr>
                </pic:pic>
              </a:graphicData>
            </a:graphic>
          </wp:inline>
        </w:drawing>
      </w:r>
    </w:p>
    <w:p>
      <w:pPr>
        <w:spacing w:before="40" w:after="160"/>
        <w:jc w:val="center"/>
      </w:pPr>
      <w:r>
        <w:rPr>
          <w:i/>
          <w:color w:val="505050"/>
          <w:sz w:val="18"/>
        </w:rPr>
        <w:t>图9  PC1数据集：四类模型多指标对比</w:t>
      </w:r>
    </w:p>
    <w:p>
      <w:pPr>
        <w:spacing w:before="120" w:after="0"/>
      </w:pPr>
    </w:p>
    <w:p>
      <w:pPr>
        <w:spacing w:before="40" w:after="40"/>
        <w:jc w:val="center"/>
      </w:pPr>
      <w:r>
        <w:drawing>
          <wp:inline xmlns:a="http://schemas.openxmlformats.org/drawingml/2006/main" xmlns:pic="http://schemas.openxmlformats.org/drawingml/2006/picture">
            <wp:extent cx="5303520" cy="1151565"/>
            <wp:docPr id="15" name="Picture 15"/>
            <wp:cNvGraphicFramePr>
              <a:graphicFrameLocks noChangeAspect="1"/>
            </wp:cNvGraphicFramePr>
            <a:graphic>
              <a:graphicData uri="http://schemas.openxmlformats.org/drawingml/2006/picture">
                <pic:pic>
                  <pic:nvPicPr>
                    <pic:cNvPr id="0" name="PC1_confusion_matrix.png"/>
                    <pic:cNvPicPr/>
                  </pic:nvPicPr>
                  <pic:blipFill>
                    <a:blip r:embed="rId20"/>
                    <a:stretch>
                      <a:fillRect/>
                    </a:stretch>
                  </pic:blipFill>
                  <pic:spPr>
                    <a:xfrm>
                      <a:off x="0" y="0"/>
                      <a:ext cx="5303520" cy="1151565"/>
                    </a:xfrm>
                    <a:prstGeom prst="rect"/>
                  </pic:spPr>
                </pic:pic>
              </a:graphicData>
            </a:graphic>
          </wp:inline>
        </w:drawing>
      </w:r>
    </w:p>
    <w:p>
      <w:pPr>
        <w:spacing w:before="40" w:after="160"/>
        <w:jc w:val="center"/>
      </w:pPr>
      <w:r>
        <w:rPr>
          <w:i/>
          <w:color w:val="505050"/>
          <w:sz w:val="18"/>
        </w:rPr>
        <w:t>图10  PC1数据集：各模型混淆矩阵</w:t>
      </w:r>
    </w:p>
    <w:p>
      <w:pPr>
        <w:spacing w:before="120" w:after="0"/>
      </w:pPr>
    </w:p>
    <w:p>
      <w:pPr>
        <w:spacing w:before="40" w:after="40"/>
        <w:jc w:val="center"/>
      </w:pPr>
      <w:r>
        <w:drawing>
          <wp:inline xmlns:a="http://schemas.openxmlformats.org/drawingml/2006/main" xmlns:pic="http://schemas.openxmlformats.org/drawingml/2006/picture">
            <wp:extent cx="4114800" cy="3076551"/>
            <wp:docPr id="16" name="Picture 16"/>
            <wp:cNvGraphicFramePr>
              <a:graphicFrameLocks noChangeAspect="1"/>
            </wp:cNvGraphicFramePr>
            <a:graphic>
              <a:graphicData uri="http://schemas.openxmlformats.org/drawingml/2006/picture">
                <pic:pic>
                  <pic:nvPicPr>
                    <pic:cNvPr id="0" name="PC1_roc_curves.png"/>
                    <pic:cNvPicPr/>
                  </pic:nvPicPr>
                  <pic:blipFill>
                    <a:blip r:embed="rId21"/>
                    <a:stretch>
                      <a:fillRect/>
                    </a:stretch>
                  </pic:blipFill>
                  <pic:spPr>
                    <a:xfrm>
                      <a:off x="0" y="0"/>
                      <a:ext cx="4114800" cy="3076551"/>
                    </a:xfrm>
                    <a:prstGeom prst="rect"/>
                  </pic:spPr>
                </pic:pic>
              </a:graphicData>
            </a:graphic>
          </wp:inline>
        </w:drawing>
      </w:r>
    </w:p>
    <w:p>
      <w:pPr>
        <w:spacing w:before="40" w:after="160"/>
        <w:jc w:val="center"/>
      </w:pPr>
      <w:r>
        <w:rPr>
          <w:i/>
          <w:color w:val="505050"/>
          <w:sz w:val="18"/>
        </w:rPr>
        <w:t>图11  PC1数据集：各模型ROC曲线</w:t>
      </w:r>
    </w:p>
    <w:p>
      <w:pPr>
        <w:spacing w:before="120" w:after="0"/>
      </w:pPr>
    </w:p>
    <w:p>
      <w:pPr>
        <w:spacing w:before="40" w:after="40"/>
        <w:jc w:val="center"/>
      </w:pPr>
      <w:r>
        <w:drawing>
          <wp:inline xmlns:a="http://schemas.openxmlformats.org/drawingml/2006/main" xmlns:pic="http://schemas.openxmlformats.org/drawingml/2006/picture">
            <wp:extent cx="5303520" cy="4723051"/>
            <wp:docPr id="17" name="Picture 17"/>
            <wp:cNvGraphicFramePr>
              <a:graphicFrameLocks noChangeAspect="1"/>
            </wp:cNvGraphicFramePr>
            <a:graphic>
              <a:graphicData uri="http://schemas.openxmlformats.org/drawingml/2006/picture">
                <pic:pic>
                  <pic:nvPicPr>
                    <pic:cNvPr id="0" name="JM1_correlation_heatmap.png"/>
                    <pic:cNvPicPr/>
                  </pic:nvPicPr>
                  <pic:blipFill>
                    <a:blip r:embed="rId22"/>
                    <a:stretch>
                      <a:fillRect/>
                    </a:stretch>
                  </pic:blipFill>
                  <pic:spPr>
                    <a:xfrm>
                      <a:off x="0" y="0"/>
                      <a:ext cx="5303520" cy="4723051"/>
                    </a:xfrm>
                    <a:prstGeom prst="rect"/>
                  </pic:spPr>
                </pic:pic>
              </a:graphicData>
            </a:graphic>
          </wp:inline>
        </w:drawing>
      </w:r>
    </w:p>
    <w:p>
      <w:pPr>
        <w:spacing w:before="40" w:after="160"/>
        <w:jc w:val="center"/>
      </w:pPr>
      <w:r>
        <w:rPr>
          <w:i/>
          <w:color w:val="505050"/>
          <w:sz w:val="18"/>
        </w:rPr>
        <w:t>图12  JM1数据集：特征相关性热力图（前15个特征）</w:t>
      </w:r>
    </w:p>
    <w:p>
      <w:pPr>
        <w:spacing w:before="120" w:after="0"/>
      </w:pPr>
    </w:p>
    <w:p>
      <w:pPr>
        <w:spacing w:before="40" w:after="40"/>
        <w:jc w:val="center"/>
      </w:pPr>
      <w:r>
        <w:drawing>
          <wp:inline xmlns:a="http://schemas.openxmlformats.org/drawingml/2006/main" xmlns:pic="http://schemas.openxmlformats.org/drawingml/2006/picture">
            <wp:extent cx="5029200" cy="3008691"/>
            <wp:docPr id="18" name="Picture 18"/>
            <wp:cNvGraphicFramePr>
              <a:graphicFrameLocks noChangeAspect="1"/>
            </wp:cNvGraphicFramePr>
            <a:graphic>
              <a:graphicData uri="http://schemas.openxmlformats.org/drawingml/2006/picture">
                <pic:pic>
                  <pic:nvPicPr>
                    <pic:cNvPr id="0" name="JM1_Random_Forest_importance.png"/>
                    <pic:cNvPicPr/>
                  </pic:nvPicPr>
                  <pic:blipFill>
                    <a:blip r:embed="rId23"/>
                    <a:stretch>
                      <a:fillRect/>
                    </a:stretch>
                  </pic:blipFill>
                  <pic:spPr>
                    <a:xfrm>
                      <a:off x="0" y="0"/>
                      <a:ext cx="5029200" cy="3008691"/>
                    </a:xfrm>
                    <a:prstGeom prst="rect"/>
                  </pic:spPr>
                </pic:pic>
              </a:graphicData>
            </a:graphic>
          </wp:inline>
        </w:drawing>
      </w:r>
    </w:p>
    <w:p>
      <w:pPr>
        <w:spacing w:before="40" w:after="160"/>
        <w:jc w:val="center"/>
      </w:pPr>
      <w:r>
        <w:rPr>
          <w:i/>
          <w:color w:val="505050"/>
          <w:sz w:val="18"/>
        </w:rPr>
        <w:t>图13  JM1数据集：随机森林特征重要性（Top 15）</w:t>
      </w:r>
    </w:p>
    <w:p>
      <w:pPr>
        <w:spacing w:before="120" w:after="0"/>
      </w:pPr>
    </w:p>
    <w:p>
      <w:pPr>
        <w:spacing w:before="40" w:after="40"/>
        <w:jc w:val="center"/>
      </w:pPr>
      <w:r>
        <w:drawing>
          <wp:inline xmlns:a="http://schemas.openxmlformats.org/drawingml/2006/main" xmlns:pic="http://schemas.openxmlformats.org/drawingml/2006/picture">
            <wp:extent cx="5029200" cy="3008691"/>
            <wp:docPr id="19" name="Picture 19"/>
            <wp:cNvGraphicFramePr>
              <a:graphicFrameLocks noChangeAspect="1"/>
            </wp:cNvGraphicFramePr>
            <a:graphic>
              <a:graphicData uri="http://schemas.openxmlformats.org/drawingml/2006/picture">
                <pic:pic>
                  <pic:nvPicPr>
                    <pic:cNvPr id="0" name="JM1_XGBoost_importance.png"/>
                    <pic:cNvPicPr/>
                  </pic:nvPicPr>
                  <pic:blipFill>
                    <a:blip r:embed="rId24"/>
                    <a:stretch>
                      <a:fillRect/>
                    </a:stretch>
                  </pic:blipFill>
                  <pic:spPr>
                    <a:xfrm>
                      <a:off x="0" y="0"/>
                      <a:ext cx="5029200" cy="3008691"/>
                    </a:xfrm>
                    <a:prstGeom prst="rect"/>
                  </pic:spPr>
                </pic:pic>
              </a:graphicData>
            </a:graphic>
          </wp:inline>
        </w:drawing>
      </w:r>
    </w:p>
    <w:p>
      <w:pPr>
        <w:spacing w:before="40" w:after="160"/>
        <w:jc w:val="center"/>
      </w:pPr>
      <w:r>
        <w:rPr>
          <w:i/>
          <w:color w:val="505050"/>
          <w:sz w:val="18"/>
        </w:rPr>
        <w:t>图14  JM1数据集：XGBoost特征重要性（Top 15）</w:t>
      </w:r>
    </w:p>
    <w:p>
      <w:pPr>
        <w:spacing w:before="120" w:after="0"/>
      </w:pPr>
    </w:p>
    <w:p>
      <w:pPr>
        <w:spacing w:before="40" w:after="40"/>
        <w:jc w:val="center"/>
      </w:pPr>
      <w:r>
        <w:drawing>
          <wp:inline xmlns:a="http://schemas.openxmlformats.org/drawingml/2006/main" xmlns:pic="http://schemas.openxmlformats.org/drawingml/2006/picture">
            <wp:extent cx="5029200" cy="12961782"/>
            <wp:docPr id="20" name="Picture 20"/>
            <wp:cNvGraphicFramePr>
              <a:graphicFrameLocks noChangeAspect="1"/>
            </wp:cNvGraphicFramePr>
            <a:graphic>
              <a:graphicData uri="http://schemas.openxmlformats.org/drawingml/2006/picture">
                <pic:pic>
                  <pic:nvPicPr>
                    <pic:cNvPr id="0" name="JM1_Random_Forest_shap_summary.png"/>
                    <pic:cNvPicPr/>
                  </pic:nvPicPr>
                  <pic:blipFill>
                    <a:blip r:embed="rId25"/>
                    <a:stretch>
                      <a:fillRect/>
                    </a:stretch>
                  </pic:blipFill>
                  <pic:spPr>
                    <a:xfrm>
                      <a:off x="0" y="0"/>
                      <a:ext cx="5029200" cy="12961782"/>
                    </a:xfrm>
                    <a:prstGeom prst="rect"/>
                  </pic:spPr>
                </pic:pic>
              </a:graphicData>
            </a:graphic>
          </wp:inline>
        </w:drawing>
      </w:r>
    </w:p>
    <w:p>
      <w:pPr>
        <w:spacing w:before="40" w:after="160"/>
        <w:jc w:val="center"/>
      </w:pPr>
      <w:r>
        <w:rPr>
          <w:i/>
          <w:color w:val="505050"/>
          <w:sz w:val="18"/>
        </w:rPr>
        <w:t>图15  JM1数据集：随机森林SHAP摘要图</w:t>
      </w:r>
    </w:p>
    <w:p>
      <w:pPr>
        <w:spacing w:before="120" w:after="0"/>
      </w:pPr>
    </w:p>
    <w:p>
      <w:pPr>
        <w:spacing w:before="40" w:after="40"/>
        <w:jc w:val="center"/>
      </w:pPr>
      <w:r>
        <w:drawing>
          <wp:inline xmlns:a="http://schemas.openxmlformats.org/drawingml/2006/main" xmlns:pic="http://schemas.openxmlformats.org/drawingml/2006/picture">
            <wp:extent cx="5029200" cy="11640836"/>
            <wp:docPr id="21" name="Picture 21"/>
            <wp:cNvGraphicFramePr>
              <a:graphicFrameLocks noChangeAspect="1"/>
            </wp:cNvGraphicFramePr>
            <a:graphic>
              <a:graphicData uri="http://schemas.openxmlformats.org/drawingml/2006/picture">
                <pic:pic>
                  <pic:nvPicPr>
                    <pic:cNvPr id="0" name="JM1_Random_Forest_shap_bar.png"/>
                    <pic:cNvPicPr/>
                  </pic:nvPicPr>
                  <pic:blipFill>
                    <a:blip r:embed="rId26"/>
                    <a:stretch>
                      <a:fillRect/>
                    </a:stretch>
                  </pic:blipFill>
                  <pic:spPr>
                    <a:xfrm>
                      <a:off x="0" y="0"/>
                      <a:ext cx="5029200" cy="11640836"/>
                    </a:xfrm>
                    <a:prstGeom prst="rect"/>
                  </pic:spPr>
                </pic:pic>
              </a:graphicData>
            </a:graphic>
          </wp:inline>
        </w:drawing>
      </w:r>
    </w:p>
    <w:p>
      <w:pPr>
        <w:spacing w:before="40" w:after="160"/>
        <w:jc w:val="center"/>
      </w:pPr>
      <w:r>
        <w:rPr>
          <w:i/>
          <w:color w:val="505050"/>
          <w:sz w:val="18"/>
        </w:rPr>
        <w:t>图16  JM1数据集：随机森林SHAP特征重要性（基于平均|SHAP|值）</w:t>
      </w:r>
    </w:p>
    <w:p>
      <w:pPr>
        <w:spacing w:before="120" w:after="0"/>
      </w:pPr>
    </w:p>
    <w:p>
      <w:pPr>
        <w:spacing w:before="40" w:after="40"/>
        <w:jc w:val="center"/>
      </w:pPr>
      <w:r>
        <w:drawing>
          <wp:inline xmlns:a="http://schemas.openxmlformats.org/drawingml/2006/main" xmlns:pic="http://schemas.openxmlformats.org/drawingml/2006/picture">
            <wp:extent cx="5303520" cy="2256222"/>
            <wp:docPr id="22" name="Picture 22"/>
            <wp:cNvGraphicFramePr>
              <a:graphicFrameLocks noChangeAspect="1"/>
            </wp:cNvGraphicFramePr>
            <a:graphic>
              <a:graphicData uri="http://schemas.openxmlformats.org/drawingml/2006/picture">
                <pic:pic>
                  <pic:nvPicPr>
                    <pic:cNvPr id="0" name="cross_dataset_comparison.png"/>
                    <pic:cNvPicPr/>
                  </pic:nvPicPr>
                  <pic:blipFill>
                    <a:blip r:embed="rId27"/>
                    <a:stretch>
                      <a:fillRect/>
                    </a:stretch>
                  </pic:blipFill>
                  <pic:spPr>
                    <a:xfrm>
                      <a:off x="0" y="0"/>
                      <a:ext cx="5303520" cy="2256222"/>
                    </a:xfrm>
                    <a:prstGeom prst="rect"/>
                  </pic:spPr>
                </pic:pic>
              </a:graphicData>
            </a:graphic>
          </wp:inline>
        </w:drawing>
      </w:r>
    </w:p>
    <w:p>
      <w:pPr>
        <w:spacing w:before="40" w:after="160"/>
        <w:jc w:val="center"/>
      </w:pPr>
      <w:r>
        <w:rPr>
          <w:i/>
          <w:color w:val="505050"/>
          <w:sz w:val="18"/>
        </w:rPr>
        <w:t>图17  各数据集最佳模型跨数据集性能对比</w:t>
      </w:r>
    </w:p>
    <w:p>
      <w:pPr>
        <w:spacing w:before="120" w:after="0"/>
      </w:pPr>
    </w:p>
    <w:p>
      <w:pPr>
        <w:spacing w:before="40" w:after="40"/>
        <w:jc w:val="center"/>
      </w:pPr>
      <w:r>
        <w:drawing>
          <wp:inline xmlns:a="http://schemas.openxmlformats.org/drawingml/2006/main" xmlns:pic="http://schemas.openxmlformats.org/drawingml/2006/picture">
            <wp:extent cx="5303520" cy="3285446"/>
            <wp:docPr id="23" name="Picture 23"/>
            <wp:cNvGraphicFramePr>
              <a:graphicFrameLocks noChangeAspect="1"/>
            </wp:cNvGraphicFramePr>
            <a:graphic>
              <a:graphicData uri="http://schemas.openxmlformats.org/drawingml/2006/picture">
                <pic:pic>
                  <pic:nvPicPr>
                    <pic:cNvPr id="0" name="full_metrics_heatmap.png"/>
                    <pic:cNvPicPr/>
                  </pic:nvPicPr>
                  <pic:blipFill>
                    <a:blip r:embed="rId28"/>
                    <a:stretch>
                      <a:fillRect/>
                    </a:stretch>
                  </pic:blipFill>
                  <pic:spPr>
                    <a:xfrm>
                      <a:off x="0" y="0"/>
                      <a:ext cx="5303520" cy="3285446"/>
                    </a:xfrm>
                    <a:prstGeom prst="rect"/>
                  </pic:spPr>
                </pic:pic>
              </a:graphicData>
            </a:graphic>
          </wp:inline>
        </w:drawing>
      </w:r>
    </w:p>
    <w:p>
      <w:pPr>
        <w:spacing w:before="40" w:after="160"/>
        <w:jc w:val="center"/>
      </w:pPr>
      <w:r>
        <w:rPr>
          <w:i/>
          <w:color w:val="505050"/>
          <w:sz w:val="18"/>
        </w:rPr>
        <w:t>图18  所有模型×所有数据集×六项指标完整性能热力图</w:t>
      </w:r>
    </w:p>
    <w:p>
      <w:pPr>
        <w:spacing w:before="120" w:after="0"/>
      </w:pPr>
    </w:p>
    <w:p>
      <w:pPr>
        <w:spacing w:before="40" w:after="40"/>
        <w:jc w:val="center"/>
      </w:pPr>
      <w:r>
        <w:drawing>
          <wp:inline xmlns:a="http://schemas.openxmlformats.org/drawingml/2006/main" xmlns:pic="http://schemas.openxmlformats.org/drawingml/2006/picture">
            <wp:extent cx="5303520" cy="3078121"/>
            <wp:docPr id="24" name="Picture 24"/>
            <wp:cNvGraphicFramePr>
              <a:graphicFrameLocks noChangeAspect="1"/>
            </wp:cNvGraphicFramePr>
            <a:graphic>
              <a:graphicData uri="http://schemas.openxmlformats.org/drawingml/2006/picture">
                <pic:pic>
                  <pic:nvPicPr>
                    <pic:cNvPr id="0" name="model_ranking.png"/>
                    <pic:cNvPicPr/>
                  </pic:nvPicPr>
                  <pic:blipFill>
                    <a:blip r:embed="rId29"/>
                    <a:stretch>
                      <a:fillRect/>
                    </a:stretch>
                  </pic:blipFill>
                  <pic:spPr>
                    <a:xfrm>
                      <a:off x="0" y="0"/>
                      <a:ext cx="5303520" cy="3078121"/>
                    </a:xfrm>
                    <a:prstGeom prst="rect"/>
                  </pic:spPr>
                </pic:pic>
              </a:graphicData>
            </a:graphic>
          </wp:inline>
        </w:drawing>
      </w:r>
    </w:p>
    <w:p>
      <w:pPr>
        <w:spacing w:before="40" w:after="160"/>
        <w:jc w:val="center"/>
      </w:pPr>
      <w:r>
        <w:rPr>
          <w:i/>
          <w:color w:val="505050"/>
          <w:sz w:val="18"/>
        </w:rPr>
        <w:t>图19  四类模型在所有数据集上的平均性能排名</w:t>
      </w:r>
    </w:p>
    <w:p w14:paraId="39C14D4B" w14:textId="0965C611" w:rsidR="009E3910" w:rsidRPr="009E3910" w:rsidRDefault="009E3910" w:rsidP="009E3910">
      <w:pPr>
        <w:pStyle w:val="ab"/>
        <w:widowControl/>
        <w:ind w:left="720" w:firstLineChars="0" w:firstLine="0"/>
        <w:jc w:val="left"/>
        <w:rPr>
          <w:rFonts w:ascii="宋体" w:eastAsia="宋体" w:hAnsi="宋体" w:hint="eastAsia"/>
          <w:b/>
          <w:sz w:val="32"/>
          <w:szCs w:val="32"/>
        </w:rPr>
      </w:pPr>
    </w:p>
    <w:p w14:paraId="0FC12809" w14:textId="0F85624A" w:rsidR="009E3910" w:rsidRDefault="00454334" w:rsidP="009E3910">
      <w:pPr>
        <w:pStyle w:val="ab"/>
        <w:widowControl/>
        <w:numPr>
          <w:ilvl w:val="0"/>
          <w:numId w:val="4"/>
        </w:numPr>
        <w:spacing w:line="720" w:lineRule="auto"/>
        <w:ind w:firstLineChars="0"/>
        <w:jc w:val="left"/>
        <w:rPr>
          <w:rFonts w:ascii="宋体" w:eastAsia="宋体" w:hAnsi="宋体" w:hint="eastAsia"/>
          <w:b/>
          <w:sz w:val="32"/>
          <w:szCs w:val="32"/>
        </w:rPr>
      </w:pPr>
      <w:r>
        <w:rPr>
          <w:rFonts w:ascii="宋体" w:eastAsia="宋体" w:hAnsi="宋体" w:hint="eastAsia"/>
          <w:b/>
          <w:sz w:val="32"/>
          <w:szCs w:val="32"/>
        </w:rPr>
        <w:t>项目总结</w:t>
      </w:r>
      <w:r>
        <w:rPr>
          <w:rFonts w:ascii="宋体" w:eastAsia="宋体" w:hAnsi="宋体" w:hint="eastAsia"/>
          <w:b/>
          <w:sz w:val="32"/>
          <w:szCs w:val="32"/>
        </w:rPr>
        <w:br/>
      </w:r>
      <w:r>
        <w:rPr>
          <w:rFonts w:ascii="宋体" w:eastAsia="宋体" w:hAnsi="宋体" w:hint="eastAsia"/>
          <w:b/>
          <w:sz w:val="32"/>
          <w:szCs w:val="32"/>
        </w:rPr>
        <w:br/>
        <w:t>本项目成功实现了一个完整的基于机器学习的软件缺陷预测系统，使用NASA MDP数据集的21个软件度量特征（涵盖McCabe圈复杂度、Halstead度量和代码行数三大类别），通过Logistic Regression、SVM、Random Forest和</w:t>
      </w:r>
      <w:proofErr w:type="spellStart"/>
      <w:r>
        <w:rPr>
          <w:rFonts w:ascii="宋体" w:eastAsia="宋体" w:hAnsi="宋体" w:hint="eastAsia"/>
          <w:b/>
          <w:sz w:val="32"/>
          <w:szCs w:val="32"/>
        </w:rPr>
        <w:t>XGBoost</w:t>
      </w:r>
      <w:proofErr w:type="spellEnd"/>
      <w:r>
        <w:rPr>
          <w:rFonts w:ascii="宋体" w:eastAsia="宋体" w:hAnsi="宋体" w:hint="eastAsia"/>
          <w:b/>
          <w:sz w:val="32"/>
          <w:szCs w:val="32"/>
        </w:rPr>
        <w:t>四种分类模型，对软件模块是否存在缺陷进行自动预测。</w:t>
      </w:r>
      <w:r>
        <w:rPr>
          <w:rFonts w:ascii="宋体" w:eastAsia="宋体" w:hAnsi="宋体" w:hint="eastAsia"/>
          <w:b/>
          <w:sz w:val="32"/>
          <w:szCs w:val="32"/>
        </w:rPr>
        <w:br/>
      </w:r>
      <w:r>
        <w:rPr>
          <w:rFonts w:ascii="宋体" w:eastAsia="宋体" w:hAnsi="宋体" w:hint="eastAsia"/>
          <w:b/>
          <w:sz w:val="32"/>
          <w:szCs w:val="32"/>
        </w:rPr>
        <w:br/>
      </w:r>
      <w:r>
        <w:rPr>
          <w:rFonts w:ascii="宋体" w:eastAsia="宋体" w:hAnsi="宋体" w:hint="eastAsia"/>
          <w:b/>
          <w:sz w:val="32"/>
          <w:szCs w:val="32"/>
        </w:rPr>
        <w:lastRenderedPageBreak/>
        <w:t>通过在三组不同特征的数据集（JM1、KC1、PC1）上的系统实验，我们得出以下主要结论：</w:t>
      </w:r>
      <w:r>
        <w:rPr>
          <w:rFonts w:ascii="宋体" w:eastAsia="宋体" w:hAnsi="宋体" w:hint="eastAsia"/>
          <w:b/>
          <w:sz w:val="32"/>
          <w:szCs w:val="32"/>
        </w:rPr>
        <w:br/>
      </w:r>
      <w:r>
        <w:rPr>
          <w:rFonts w:ascii="宋体" w:eastAsia="宋体" w:hAnsi="宋体" w:hint="eastAsia"/>
          <w:b/>
          <w:sz w:val="32"/>
          <w:szCs w:val="32"/>
        </w:rPr>
        <w:br/>
        <w:t>第一，软件缺陷预测是一个具有挑战性的不平衡分类问题。在缺陷率仅为7%~26%的数据上，SMOTE等过采样技术能够有效缓解类别不平衡的影响，使模型的Recall从接近0提升到0.4~0.8的水平。</w:t>
      </w:r>
      <w:r>
        <w:rPr>
          <w:rFonts w:ascii="宋体" w:eastAsia="宋体" w:hAnsi="宋体" w:hint="eastAsia"/>
          <w:b/>
          <w:sz w:val="32"/>
          <w:szCs w:val="32"/>
        </w:rPr>
        <w:br/>
      </w:r>
      <w:r>
        <w:rPr>
          <w:rFonts w:ascii="宋体" w:eastAsia="宋体" w:hAnsi="宋体" w:hint="eastAsia"/>
          <w:b/>
          <w:sz w:val="32"/>
          <w:szCs w:val="32"/>
        </w:rPr>
        <w:br/>
        <w:t>第二，随机森林和</w:t>
      </w:r>
      <w:proofErr w:type="spellStart"/>
      <w:r>
        <w:rPr>
          <w:rFonts w:ascii="宋体" w:eastAsia="宋体" w:hAnsi="宋体" w:hint="eastAsia"/>
          <w:b/>
          <w:sz w:val="32"/>
          <w:szCs w:val="32"/>
        </w:rPr>
        <w:t>XGBoost</w:t>
      </w:r>
      <w:proofErr w:type="spellEnd"/>
      <w:r>
        <w:rPr>
          <w:rFonts w:ascii="宋体" w:eastAsia="宋体" w:hAnsi="宋体" w:hint="eastAsia"/>
          <w:b/>
          <w:sz w:val="32"/>
          <w:szCs w:val="32"/>
        </w:rPr>
        <w:t>等集成学习方法在Accuracy和MCC上通常优于单一模型，但在小样本数据集（如KC1仅1,212条）上优势有限，Logistic Regression作为简单基准模型也表现出不错的竞争力。</w:t>
      </w:r>
      <w:r>
        <w:rPr>
          <w:rFonts w:ascii="宋体" w:eastAsia="宋体" w:hAnsi="宋体" w:hint="eastAsia"/>
          <w:b/>
          <w:sz w:val="32"/>
          <w:szCs w:val="32"/>
        </w:rPr>
        <w:br/>
      </w:r>
      <w:r>
        <w:rPr>
          <w:rFonts w:ascii="宋体" w:eastAsia="宋体" w:hAnsi="宋体" w:hint="eastAsia"/>
          <w:b/>
          <w:sz w:val="32"/>
          <w:szCs w:val="32"/>
        </w:rPr>
        <w:br/>
        <w:t>第三，代码空白行数（</w:t>
      </w:r>
      <w:proofErr w:type="spellStart"/>
      <w:r>
        <w:rPr>
          <w:rFonts w:ascii="宋体" w:eastAsia="宋体" w:hAnsi="宋体" w:hint="eastAsia"/>
          <w:b/>
          <w:sz w:val="32"/>
          <w:szCs w:val="32"/>
        </w:rPr>
        <w:t>loblank</w:t>
      </w:r>
      <w:proofErr w:type="spellEnd"/>
      <w:r>
        <w:rPr>
          <w:rFonts w:ascii="宋体" w:eastAsia="宋体" w:hAnsi="宋体" w:hint="eastAsia"/>
          <w:b/>
          <w:sz w:val="32"/>
          <w:szCs w:val="32"/>
        </w:rPr>
        <w:t>）、设计复杂度</w:t>
      </w:r>
      <w:r>
        <w:rPr>
          <w:rFonts w:ascii="宋体" w:eastAsia="宋体" w:hAnsi="宋体" w:hint="eastAsia"/>
          <w:b/>
          <w:sz w:val="32"/>
          <w:szCs w:val="32"/>
        </w:rPr>
        <w:lastRenderedPageBreak/>
        <w:t>（iv(g)）和Halstead工作量度量（e）是最具预测力的软件度量特征，这与软件工程领域关于"代码复杂性与缺陷率正相关"的经典认知高度一致。</w:t>
      </w:r>
      <w:r>
        <w:rPr>
          <w:rFonts w:ascii="宋体" w:eastAsia="宋体" w:hAnsi="宋体" w:hint="eastAsia"/>
          <w:b/>
          <w:sz w:val="32"/>
          <w:szCs w:val="32"/>
        </w:rPr>
        <w:br/>
      </w:r>
      <w:r>
        <w:rPr>
          <w:rFonts w:ascii="宋体" w:eastAsia="宋体" w:hAnsi="宋体" w:hint="eastAsia"/>
          <w:b/>
          <w:sz w:val="32"/>
          <w:szCs w:val="32"/>
        </w:rPr>
        <w:br/>
        <w:t>第四，SHAP可解释性分析为"黑盒"模型提供了透明的决策解释，揭示了特征取值与预测结果之间的定量关系，为开发者将模型输出转化为可操作的代码改进建立了桥梁。</w:t>
      </w:r>
      <w:r>
        <w:rPr>
          <w:rFonts w:ascii="宋体" w:eastAsia="宋体" w:hAnsi="宋体" w:hint="eastAsia"/>
          <w:b/>
          <w:sz w:val="32"/>
          <w:szCs w:val="32"/>
        </w:rPr>
        <w:br/>
      </w:r>
      <w:r>
        <w:rPr>
          <w:rFonts w:ascii="宋体" w:eastAsia="宋体" w:hAnsi="宋体" w:hint="eastAsia"/>
          <w:b/>
          <w:sz w:val="32"/>
          <w:szCs w:val="32"/>
        </w:rPr>
        <w:br/>
        <w:t>本项目在技术实践中综合运用了多项软件工程方法和工具：采用模块化架构设计，遵循高内聚低耦合原则组织代码；使用scikit-learn、</w:t>
      </w:r>
      <w:proofErr w:type="spellStart"/>
      <w:r>
        <w:rPr>
          <w:rFonts w:ascii="宋体" w:eastAsia="宋体" w:hAnsi="宋体" w:hint="eastAsia"/>
          <w:b/>
          <w:sz w:val="32"/>
          <w:szCs w:val="32"/>
        </w:rPr>
        <w:t>XGBoost</w:t>
      </w:r>
      <w:proofErr w:type="spellEnd"/>
      <w:r>
        <w:rPr>
          <w:rFonts w:ascii="宋体" w:eastAsia="宋体" w:hAnsi="宋体" w:hint="eastAsia"/>
          <w:b/>
          <w:sz w:val="32"/>
          <w:szCs w:val="32"/>
        </w:rPr>
        <w:t>、SHAP等成熟的开源工具链构建数据处理和模型训练流水线；通过</w:t>
      </w:r>
      <w:proofErr w:type="spellStart"/>
      <w:r>
        <w:rPr>
          <w:rFonts w:ascii="宋体" w:eastAsia="宋体" w:hAnsi="宋体" w:hint="eastAsia"/>
          <w:b/>
          <w:sz w:val="32"/>
          <w:szCs w:val="32"/>
        </w:rPr>
        <w:t>argparse</w:t>
      </w:r>
      <w:proofErr w:type="spellEnd"/>
      <w:r>
        <w:rPr>
          <w:rFonts w:ascii="宋体" w:eastAsia="宋体" w:hAnsi="宋体" w:hint="eastAsia"/>
          <w:b/>
          <w:sz w:val="32"/>
          <w:szCs w:val="32"/>
        </w:rPr>
        <w:t>实现命令行接口支持可复现实验；使用Git进行版本管理，编写了完整的README文档。</w:t>
      </w:r>
      <w:r>
        <w:rPr>
          <w:rFonts w:ascii="宋体" w:eastAsia="宋体" w:hAnsi="宋体" w:hint="eastAsia"/>
          <w:b/>
          <w:sz w:val="32"/>
          <w:szCs w:val="32"/>
        </w:rPr>
        <w:br/>
      </w:r>
      <w:r>
        <w:rPr>
          <w:rFonts w:ascii="宋体" w:eastAsia="宋体" w:hAnsi="宋体" w:hint="eastAsia"/>
          <w:b/>
          <w:sz w:val="32"/>
          <w:szCs w:val="32"/>
        </w:rPr>
        <w:lastRenderedPageBreak/>
        <w:br/>
        <w:t>项目也体现了现代软件开发与AI的深度融合——利用机器学习技术增强传统软件质量保证流程，展示了AI赋能软件工程（AI4SE）的巨大潜力和实际价值。</w:t>
      </w:r>
    </w:p>
    <w:p w14:paraId="2E1E4003" w14:textId="2B3B857D" w:rsidR="0007596E" w:rsidRDefault="00454334" w:rsidP="0007596E">
      <w:pPr>
        <w:pStyle w:val="ab"/>
        <w:widowControl/>
        <w:numPr>
          <w:ilvl w:val="0"/>
          <w:numId w:val="9"/>
        </w:numPr>
        <w:ind w:firstLineChars="0"/>
        <w:jc w:val="left"/>
        <w:rPr>
          <w:rFonts w:ascii="宋体" w:eastAsia="宋体" w:hAnsi="宋体" w:hint="eastAsia"/>
          <w:b/>
          <w:sz w:val="24"/>
          <w:szCs w:val="32"/>
        </w:rPr>
      </w:pPr>
      <w:r>
        <w:rPr>
          <w:rFonts w:ascii="宋体" w:eastAsia="宋体" w:hAnsi="宋体" w:hint="eastAsia"/>
          <w:b/>
          <w:sz w:val="24"/>
          <w:szCs w:val="32"/>
        </w:rPr>
        <w:t>简述自己在项目中的收获</w:t>
      </w:r>
      <w:r>
        <w:rPr>
          <w:rFonts w:ascii="宋体" w:eastAsia="宋体" w:hAnsi="宋体" w:hint="eastAsia"/>
          <w:b/>
          <w:sz w:val="24"/>
          <w:szCs w:val="32"/>
        </w:rPr>
        <w:br/>
      </w:r>
      <w:r>
        <w:rPr>
          <w:rFonts w:ascii="宋体" w:eastAsia="宋体" w:hAnsi="宋体" w:hint="eastAsia"/>
          <w:b/>
          <w:sz w:val="24"/>
          <w:szCs w:val="32"/>
        </w:rPr>
        <w:br/>
        <w:t>通过本次项目的完整实践，我在以下方面获得了深刻的认识和实际收获：</w:t>
      </w:r>
      <w:r>
        <w:rPr>
          <w:rFonts w:ascii="宋体" w:eastAsia="宋体" w:hAnsi="宋体" w:hint="eastAsia"/>
          <w:b/>
          <w:sz w:val="24"/>
          <w:szCs w:val="32"/>
        </w:rPr>
        <w:br/>
      </w:r>
      <w:r>
        <w:rPr>
          <w:rFonts w:ascii="宋体" w:eastAsia="宋体" w:hAnsi="宋体" w:hint="eastAsia"/>
          <w:b/>
          <w:sz w:val="24"/>
          <w:szCs w:val="32"/>
        </w:rPr>
        <w:br/>
        <w:t>【难点1：类别不平衡问题及其解决】</w:t>
      </w:r>
      <w:r>
        <w:rPr>
          <w:rFonts w:ascii="宋体" w:eastAsia="宋体" w:hAnsi="宋体" w:hint="eastAsia"/>
          <w:b/>
          <w:sz w:val="24"/>
          <w:szCs w:val="32"/>
        </w:rPr>
        <w:br/>
        <w:t>软件缺陷数据中缺陷样本极少（PC1仅7.34%），直接训练会导致模型偏向多数类。最初的实验中，模型将所有样本都预测为"无缺陷"——虽然Accuracy高达92%，但Recall几乎为0，这样的模型毫无实用价值。通过研究SMOTE算法的原理（在特征空间中为少数类样本合成近邻）并将其应用到训练流水线中，模型对缺陷样本的召回率大幅提升（如PC1上LR的Recall从接近0提升到0.81）。这一过程让我深刻体会到"数据质量决定模型上限"的道理，也学到了SMOTE、ADASYN等重采样技术在实际工程中的应用方法和适用场景。</w:t>
      </w:r>
      <w:r>
        <w:rPr>
          <w:rFonts w:ascii="宋体" w:eastAsia="宋体" w:hAnsi="宋体" w:hint="eastAsia"/>
          <w:b/>
          <w:sz w:val="24"/>
          <w:szCs w:val="32"/>
        </w:rPr>
        <w:br/>
      </w:r>
      <w:r>
        <w:rPr>
          <w:rFonts w:ascii="宋体" w:eastAsia="宋体" w:hAnsi="宋体" w:hint="eastAsia"/>
          <w:b/>
          <w:sz w:val="24"/>
          <w:szCs w:val="32"/>
        </w:rPr>
        <w:br/>
        <w:t>【难点2：模型评估指标的选择】</w:t>
      </w:r>
      <w:r>
        <w:rPr>
          <w:rFonts w:ascii="宋体" w:eastAsia="宋体" w:hAnsi="宋体" w:hint="eastAsia"/>
          <w:b/>
          <w:sz w:val="24"/>
          <w:szCs w:val="32"/>
        </w:rPr>
        <w:br/>
        <w:t>初次实验时，我习惯性地以Accuracy作为衡量标准，但很快发现这在高度不平衡的数据上毫无意义。通过查阅文献，了解到MCC（Matthews相关系数）能够更全面、更公平地评估不平衡分类器的性能。同时理解了Precision和Recall的权衡关系——在缺陷预测中，高Recall意味着尽可能少地遗漏缺陷（适合安全关键系统），而高Precision意味着减少开发者的误报疲劳（适合日常开发场景）。这一认知对实际工程决策具有重要指导意义。</w:t>
      </w:r>
      <w:r>
        <w:rPr>
          <w:rFonts w:ascii="宋体" w:eastAsia="宋体" w:hAnsi="宋体" w:hint="eastAsia"/>
          <w:b/>
          <w:sz w:val="24"/>
          <w:szCs w:val="32"/>
        </w:rPr>
        <w:br/>
      </w:r>
      <w:r>
        <w:rPr>
          <w:rFonts w:ascii="宋体" w:eastAsia="宋体" w:hAnsi="宋体" w:hint="eastAsia"/>
          <w:b/>
          <w:sz w:val="24"/>
          <w:szCs w:val="32"/>
        </w:rPr>
        <w:br/>
        <w:t>【运用的软件工程工具和技术】</w:t>
      </w:r>
      <w:r>
        <w:rPr>
          <w:rFonts w:ascii="宋体" w:eastAsia="宋体" w:hAnsi="宋体" w:hint="eastAsia"/>
          <w:b/>
          <w:sz w:val="24"/>
          <w:szCs w:val="32"/>
        </w:rPr>
        <w:br/>
        <w:t>• 版本控制：使用Git进行代码管理，编写了完善的.</w:t>
      </w:r>
      <w:proofErr w:type="spellStart"/>
      <w:r>
        <w:rPr>
          <w:rFonts w:ascii="宋体" w:eastAsia="宋体" w:hAnsi="宋体" w:hint="eastAsia"/>
          <w:b/>
          <w:sz w:val="24"/>
          <w:szCs w:val="32"/>
        </w:rPr>
        <w:t>gitignore</w:t>
      </w:r>
      <w:proofErr w:type="spellEnd"/>
      <w:r>
        <w:rPr>
          <w:rFonts w:ascii="宋体" w:eastAsia="宋体" w:hAnsi="宋体" w:hint="eastAsia"/>
          <w:b/>
          <w:sz w:val="24"/>
          <w:szCs w:val="32"/>
        </w:rPr>
        <w:t>和README.md</w:t>
      </w:r>
      <w:r>
        <w:rPr>
          <w:rFonts w:ascii="宋体" w:eastAsia="宋体" w:hAnsi="宋体" w:hint="eastAsia"/>
          <w:b/>
          <w:sz w:val="24"/>
          <w:szCs w:val="32"/>
        </w:rPr>
        <w:br/>
        <w:t>• 模块化设计：遵循高内聚低耦合原则将系统拆分为6个独立模块</w:t>
      </w:r>
      <w:r>
        <w:rPr>
          <w:rFonts w:ascii="宋体" w:eastAsia="宋体" w:hAnsi="宋体" w:hint="eastAsia"/>
          <w:b/>
          <w:sz w:val="24"/>
          <w:szCs w:val="32"/>
        </w:rPr>
        <w:br/>
        <w:t>• 命令行接口：使用</w:t>
      </w:r>
      <w:proofErr w:type="spellStart"/>
      <w:r>
        <w:rPr>
          <w:rFonts w:ascii="宋体" w:eastAsia="宋体" w:hAnsi="宋体" w:hint="eastAsia"/>
          <w:b/>
          <w:sz w:val="24"/>
          <w:szCs w:val="32"/>
        </w:rPr>
        <w:t>argparse</w:t>
      </w:r>
      <w:proofErr w:type="spellEnd"/>
      <w:r>
        <w:rPr>
          <w:rFonts w:ascii="宋体" w:eastAsia="宋体" w:hAnsi="宋体" w:hint="eastAsia"/>
          <w:b/>
          <w:sz w:val="24"/>
          <w:szCs w:val="32"/>
        </w:rPr>
        <w:t>实现灵活的实验参数配置</w:t>
      </w:r>
      <w:r>
        <w:rPr>
          <w:rFonts w:ascii="宋体" w:eastAsia="宋体" w:hAnsi="宋体" w:hint="eastAsia"/>
          <w:b/>
          <w:sz w:val="24"/>
          <w:szCs w:val="32"/>
        </w:rPr>
        <w:br/>
        <w:t>• 数据处理流水线：pandas + scikit-learn + imbalanced-learn构建了端到端的数据流水线</w:t>
      </w:r>
      <w:r>
        <w:rPr>
          <w:rFonts w:ascii="宋体" w:eastAsia="宋体" w:hAnsi="宋体" w:hint="eastAsia"/>
          <w:b/>
          <w:sz w:val="24"/>
          <w:szCs w:val="32"/>
        </w:rPr>
        <w:br/>
        <w:t>• 科学可视化：matplotlib + seaborn生成论文级质量的分析图表</w:t>
      </w:r>
      <w:r>
        <w:rPr>
          <w:rFonts w:ascii="宋体" w:eastAsia="宋体" w:hAnsi="宋体" w:hint="eastAsia"/>
          <w:b/>
          <w:sz w:val="24"/>
          <w:szCs w:val="32"/>
        </w:rPr>
        <w:br/>
      </w:r>
      <w:r>
        <w:rPr>
          <w:rFonts w:ascii="宋体" w:eastAsia="宋体" w:hAnsi="宋体" w:hint="eastAsia"/>
          <w:b/>
          <w:sz w:val="24"/>
          <w:szCs w:val="32"/>
        </w:rPr>
        <w:lastRenderedPageBreak/>
        <w:t>• SHAP可解释性：使用</w:t>
      </w:r>
      <w:proofErr w:type="spellStart"/>
      <w:r>
        <w:rPr>
          <w:rFonts w:ascii="宋体" w:eastAsia="宋体" w:hAnsi="宋体" w:hint="eastAsia"/>
          <w:b/>
          <w:sz w:val="24"/>
          <w:szCs w:val="32"/>
        </w:rPr>
        <w:t>TreeExplainer</w:t>
      </w:r>
      <w:proofErr w:type="spellEnd"/>
      <w:r>
        <w:rPr>
          <w:rFonts w:ascii="宋体" w:eastAsia="宋体" w:hAnsi="宋体" w:hint="eastAsia"/>
          <w:b/>
          <w:sz w:val="24"/>
          <w:szCs w:val="32"/>
        </w:rPr>
        <w:t>对集成模型进行可解释性分析</w:t>
      </w:r>
      <w:r>
        <w:rPr>
          <w:rFonts w:ascii="宋体" w:eastAsia="宋体" w:hAnsi="宋体" w:hint="eastAsia"/>
          <w:b/>
          <w:sz w:val="24"/>
          <w:szCs w:val="32"/>
        </w:rPr>
        <w:br/>
      </w:r>
      <w:r>
        <w:rPr>
          <w:rFonts w:ascii="宋体" w:eastAsia="宋体" w:hAnsi="宋体" w:hint="eastAsia"/>
          <w:b/>
          <w:sz w:val="24"/>
          <w:szCs w:val="32"/>
        </w:rPr>
        <w:br/>
        <w:t>【软件开发与AI的结合】</w:t>
      </w:r>
      <w:r>
        <w:rPr>
          <w:rFonts w:ascii="宋体" w:eastAsia="宋体" w:hAnsi="宋体" w:hint="eastAsia"/>
          <w:b/>
          <w:sz w:val="24"/>
          <w:szCs w:val="32"/>
        </w:rPr>
        <w:br/>
        <w:t>本项目是一个典型的"AI驱动的软件工程"（AI4SE）案例。传统软件质量保证依赖人工审查和测试，而AI技术可以从历史数据中自动学习缺陷模式，实现智能化的质量预测。在项目实践中我体会到，AI模型的成功应用不仅需要算法和编程知识，更需要软件工程领域知识的引导——理解每个度量指标的软件工程含义、知道哪些特征理论上应与缺陷相关，这些领域知识在特征工程、模型选择和结果解读的全过程中发挥了关键作用。</w:t>
      </w:r>
      <w:r>
        <w:rPr>
          <w:rFonts w:ascii="宋体" w:eastAsia="宋体" w:hAnsi="宋体" w:hint="eastAsia"/>
          <w:b/>
          <w:sz w:val="24"/>
          <w:szCs w:val="32"/>
        </w:rPr>
        <w:br/>
      </w:r>
      <w:r>
        <w:rPr>
          <w:rFonts w:ascii="宋体" w:eastAsia="宋体" w:hAnsi="宋体" w:hint="eastAsia"/>
          <w:b/>
          <w:sz w:val="24"/>
          <w:szCs w:val="32"/>
        </w:rPr>
        <w:br/>
        <w:t>此外，AI工具（Claude Code）在本项目的开发过程中也发挥了重要的辅助作用：从选题阶段的文献调研和可行性分析，到代码框架的生成和调试，再到实验结果的解读和报告撰写，AI辅助开发显著提高了工作效率，使得在1-2周的时间约束内完成一个完整的数据科学项目成为可能。同时我也认识到，AI工具是"加速器"而非"替代品"——正确使用AI需要领域知识的判断、对输出的审慎验证，以及对软件开发整体流程的理解。</w:t>
      </w:r>
    </w:p>
    <w:p w14:paraId="2F7DCF3F" w14:textId="03FA862E" w:rsidR="009E3910" w:rsidRPr="0007596E" w:rsidRDefault="00D35B44" w:rsidP="0007596E">
      <w:pPr>
        <w:pStyle w:val="ab"/>
        <w:widowControl/>
        <w:numPr>
          <w:ilvl w:val="0"/>
          <w:numId w:val="9"/>
        </w:numPr>
        <w:ind w:firstLineChars="0"/>
        <w:jc w:val="left"/>
        <w:rPr>
          <w:rFonts w:ascii="宋体" w:eastAsia="宋体" w:hAnsi="宋体" w:hint="eastAsia"/>
          <w:b/>
          <w:sz w:val="24"/>
          <w:szCs w:val="32"/>
        </w:rPr>
      </w:pPr>
      <w:r>
        <w:rPr>
          <w:rFonts w:ascii="宋体" w:eastAsia="宋体" w:hAnsi="宋体" w:hint="eastAsia"/>
          <w:b/>
          <w:sz w:val="24"/>
          <w:szCs w:val="32"/>
        </w:rPr>
        <w:t>简述未来工作展望。</w:t>
      </w:r>
      <w:r>
        <w:rPr>
          <w:rFonts w:ascii="宋体" w:eastAsia="宋体" w:hAnsi="宋体" w:hint="eastAsia"/>
          <w:b/>
          <w:sz w:val="24"/>
          <w:szCs w:val="32"/>
        </w:rPr>
        <w:br/>
      </w:r>
      <w:r>
        <w:rPr>
          <w:rFonts w:ascii="宋体" w:eastAsia="宋体" w:hAnsi="宋体" w:hint="eastAsia"/>
          <w:b/>
          <w:sz w:val="24"/>
          <w:szCs w:val="32"/>
        </w:rPr>
        <w:br/>
        <w:t>基于本项目的实验成果和当前局限性，未来可以从以下几个方向进一步拓展研究：</w:t>
      </w:r>
      <w:r>
        <w:rPr>
          <w:rFonts w:ascii="宋体" w:eastAsia="宋体" w:hAnsi="宋体" w:hint="eastAsia"/>
          <w:b/>
          <w:sz w:val="24"/>
          <w:szCs w:val="32"/>
        </w:rPr>
        <w:br/>
      </w:r>
      <w:r>
        <w:rPr>
          <w:rFonts w:ascii="宋体" w:eastAsia="宋体" w:hAnsi="宋体" w:hint="eastAsia"/>
          <w:b/>
          <w:sz w:val="24"/>
          <w:szCs w:val="32"/>
        </w:rPr>
        <w:br/>
        <w:t>（1）引入代码语义特征。当前的21个特征全部是传统的软件度量指标（McCabe/Halstead），未涉及代码的语义信息。未来可以结合</w:t>
      </w:r>
      <w:proofErr w:type="spellStart"/>
      <w:r>
        <w:rPr>
          <w:rFonts w:ascii="宋体" w:eastAsia="宋体" w:hAnsi="宋体" w:hint="eastAsia"/>
          <w:b/>
          <w:sz w:val="24"/>
          <w:szCs w:val="32"/>
        </w:rPr>
        <w:t>CodeBERT</w:t>
      </w:r>
      <w:proofErr w:type="spellEnd"/>
      <w:r>
        <w:rPr>
          <w:rFonts w:ascii="宋体" w:eastAsia="宋体" w:hAnsi="宋体" w:hint="eastAsia"/>
          <w:b/>
          <w:sz w:val="24"/>
          <w:szCs w:val="32"/>
        </w:rPr>
        <w:t>、CodeT5等预训练代码模型，从源代码中提取语义嵌入向量作为补充特征，将结构度量与语义理解相结合，预期能进一步提升预测性能。</w:t>
      </w:r>
      <w:r>
        <w:rPr>
          <w:rFonts w:ascii="宋体" w:eastAsia="宋体" w:hAnsi="宋体" w:hint="eastAsia"/>
          <w:b/>
          <w:sz w:val="24"/>
          <w:szCs w:val="32"/>
        </w:rPr>
        <w:br/>
      </w:r>
      <w:r>
        <w:rPr>
          <w:rFonts w:ascii="宋体" w:eastAsia="宋体" w:hAnsi="宋体" w:hint="eastAsia"/>
          <w:b/>
          <w:sz w:val="24"/>
          <w:szCs w:val="32"/>
        </w:rPr>
        <w:br/>
        <w:t>（2）跨项目缺陷预测（Cross-Project Defect Prediction）。当前实验是项目内（within-project）预测。实际应用中更常见的场景是用已有项目的模型预测全新项目。未来可以研究迁移学习（Transfer Learning）和域适应（Domain Adaptation）方法，缩小源项目与目标项目之间的数据分布差异，提升跨项目预测的泛化能力。</w:t>
      </w:r>
      <w:r>
        <w:rPr>
          <w:rFonts w:ascii="宋体" w:eastAsia="宋体" w:hAnsi="宋体" w:hint="eastAsia"/>
          <w:b/>
          <w:sz w:val="24"/>
          <w:szCs w:val="32"/>
        </w:rPr>
        <w:br/>
      </w:r>
      <w:r>
        <w:rPr>
          <w:rFonts w:ascii="宋体" w:eastAsia="宋体" w:hAnsi="宋体" w:hint="eastAsia"/>
          <w:b/>
          <w:sz w:val="24"/>
          <w:szCs w:val="32"/>
        </w:rPr>
        <w:br/>
        <w:t>（3）深度学习模型探索。本项目主要使用传统机器学习模型。未来可以尝试LSTM、Bi-LSTM等序列模型，以及</w:t>
      </w:r>
      <w:proofErr w:type="spellStart"/>
      <w:r>
        <w:rPr>
          <w:rFonts w:ascii="宋体" w:eastAsia="宋体" w:hAnsi="宋体" w:hint="eastAsia"/>
          <w:b/>
          <w:sz w:val="24"/>
          <w:szCs w:val="32"/>
        </w:rPr>
        <w:t>TabNet</w:t>
      </w:r>
      <w:proofErr w:type="spellEnd"/>
      <w:r>
        <w:rPr>
          <w:rFonts w:ascii="宋体" w:eastAsia="宋体" w:hAnsi="宋体" w:hint="eastAsia"/>
          <w:b/>
          <w:sz w:val="24"/>
          <w:szCs w:val="32"/>
        </w:rPr>
        <w:t>、FT-Transformer、NODE等面向表格数据的新型深度神经网络架构。根据2026年最新文献，FT-Transformer和NODE在JM1数据集上已达到约88%的准确率。</w:t>
      </w:r>
      <w:r>
        <w:rPr>
          <w:rFonts w:ascii="宋体" w:eastAsia="宋体" w:hAnsi="宋体" w:hint="eastAsia"/>
          <w:b/>
          <w:sz w:val="24"/>
          <w:szCs w:val="32"/>
        </w:rPr>
        <w:br/>
      </w:r>
      <w:r>
        <w:rPr>
          <w:rFonts w:ascii="宋体" w:eastAsia="宋体" w:hAnsi="宋体" w:hint="eastAsia"/>
          <w:b/>
          <w:sz w:val="24"/>
          <w:szCs w:val="32"/>
        </w:rPr>
        <w:br/>
        <w:t xml:space="preserve">（4）实时缺陷预测与CI/CD集成。将训练好的模型封装为RESTful </w:t>
      </w:r>
      <w:r>
        <w:rPr>
          <w:rFonts w:ascii="宋体" w:eastAsia="宋体" w:hAnsi="宋体" w:hint="eastAsia"/>
          <w:b/>
          <w:sz w:val="24"/>
          <w:szCs w:val="32"/>
        </w:rPr>
        <w:lastRenderedPageBreak/>
        <w:t>API服务，集成到GitHub Actions或Jenkins等CI/CD流水线中，实现在代码提交时自动评估各模块的缺陷概率，生成质量报告并阻止高风险代码合并，实现"预测即服务"（Prediction as a Service）。</w:t>
      </w:r>
      <w:r>
        <w:rPr>
          <w:rFonts w:ascii="宋体" w:eastAsia="宋体" w:hAnsi="宋体" w:hint="eastAsia"/>
          <w:b/>
          <w:sz w:val="24"/>
          <w:szCs w:val="32"/>
        </w:rPr>
        <w:br/>
      </w:r>
      <w:r>
        <w:rPr>
          <w:rFonts w:ascii="宋体" w:eastAsia="宋体" w:hAnsi="宋体" w:hint="eastAsia"/>
          <w:b/>
          <w:sz w:val="24"/>
          <w:szCs w:val="32"/>
        </w:rPr>
        <w:br/>
        <w:t>（5）更大规模与更多样化的验证。在Eclipse、Apache、Mozilla等更多开源项目的数据集上验证模型性能，同时收集更近期的软件项目数据，验证模型对现代开发实践（如微服务、云原生）的适用性。</w:t>
      </w:r>
    </w:p>
    <w:bookmarkEnd w:id="0"/>
    <w:p w14:paraId="67A628CF" w14:textId="77777777" w:rsidR="009418DD" w:rsidRPr="00AC3A9B" w:rsidRDefault="009418DD" w:rsidP="009418DD">
      <w:pPr>
        <w:pStyle w:val="ab"/>
        <w:widowControl/>
        <w:spacing w:line="720" w:lineRule="auto"/>
        <w:ind w:left="720" w:firstLineChars="0" w:firstLine="0"/>
        <w:jc w:val="left"/>
        <w:rPr>
          <w:rFonts w:ascii="宋体" w:eastAsia="宋体" w:hAnsi="宋体" w:hint="eastAsia"/>
          <w:b/>
          <w:sz w:val="32"/>
          <w:szCs w:val="32"/>
        </w:rPr>
      </w:pPr>
    </w:p>
    <w:sectPr w:rsidR="009418DD" w:rsidRPr="00AC3A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B4C53" w14:textId="77777777" w:rsidR="00D87E13" w:rsidRDefault="00D87E13" w:rsidP="007D49AA">
      <w:r>
        <w:separator/>
      </w:r>
    </w:p>
  </w:endnote>
  <w:endnote w:type="continuationSeparator" w:id="0">
    <w:p w14:paraId="0447CB47" w14:textId="77777777" w:rsidR="00D87E13" w:rsidRDefault="00D87E13" w:rsidP="007D4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00B7" w14:textId="77777777" w:rsidR="00D87E13" w:rsidRDefault="00D87E13" w:rsidP="007D49AA">
      <w:r>
        <w:separator/>
      </w:r>
    </w:p>
  </w:footnote>
  <w:footnote w:type="continuationSeparator" w:id="0">
    <w:p w14:paraId="2D78BD7E" w14:textId="77777777" w:rsidR="00D87E13" w:rsidRDefault="00D87E13" w:rsidP="007D4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E0A9FF"/>
    <w:multiLevelType w:val="multilevel"/>
    <w:tmpl w:val="82E0A9FF"/>
    <w:lvl w:ilvl="0">
      <w:start w:val="1"/>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A6885CC"/>
    <w:multiLevelType w:val="singleLevel"/>
    <w:tmpl w:val="0A6885CC"/>
    <w:lvl w:ilvl="0">
      <w:start w:val="1"/>
      <w:numFmt w:val="decimal"/>
      <w:lvlText w:val="[%1]"/>
      <w:lvlJc w:val="left"/>
      <w:pPr>
        <w:tabs>
          <w:tab w:val="left" w:pos="312"/>
        </w:tabs>
      </w:pPr>
    </w:lvl>
  </w:abstractNum>
  <w:abstractNum w:abstractNumId="2" w15:restartNumberingAfterBreak="0">
    <w:nsid w:val="19BC677A"/>
    <w:multiLevelType w:val="hybridMultilevel"/>
    <w:tmpl w:val="54CEB380"/>
    <w:lvl w:ilvl="0" w:tplc="D2F6D8C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B63184"/>
    <w:multiLevelType w:val="hybridMultilevel"/>
    <w:tmpl w:val="2EF83EA6"/>
    <w:lvl w:ilvl="0" w:tplc="B29A4BFA">
      <w:start w:val="1"/>
      <w:numFmt w:val="decimal"/>
      <w:lvlText w:val="%1."/>
      <w:lvlJc w:val="left"/>
      <w:pPr>
        <w:ind w:left="1166" w:hanging="446"/>
      </w:pPr>
      <w:rPr>
        <w:rFonts w:hint="default"/>
        <w:sz w:val="32"/>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2F6B61E3"/>
    <w:multiLevelType w:val="hybridMultilevel"/>
    <w:tmpl w:val="37A2CD9E"/>
    <w:lvl w:ilvl="0" w:tplc="3410BF0E">
      <w:start w:val="1"/>
      <w:numFmt w:val="decimal"/>
      <w:lvlText w:val="%1."/>
      <w:lvlJc w:val="left"/>
      <w:pPr>
        <w:ind w:left="1097" w:hanging="377"/>
      </w:pPr>
      <w:rPr>
        <w:rFonts w:hint="default"/>
        <w:sz w:val="36"/>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30671644"/>
    <w:multiLevelType w:val="hybridMultilevel"/>
    <w:tmpl w:val="C5FCD066"/>
    <w:lvl w:ilvl="0" w:tplc="85A6A32E">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6" w15:restartNumberingAfterBreak="0">
    <w:nsid w:val="3A6C71E0"/>
    <w:multiLevelType w:val="hybridMultilevel"/>
    <w:tmpl w:val="1B5E5684"/>
    <w:lvl w:ilvl="0" w:tplc="00DAE69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4C580AF9"/>
    <w:multiLevelType w:val="hybridMultilevel"/>
    <w:tmpl w:val="30AA7AEE"/>
    <w:lvl w:ilvl="0" w:tplc="EC422C9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0586DFC"/>
    <w:multiLevelType w:val="hybridMultilevel"/>
    <w:tmpl w:val="1B5E5684"/>
    <w:lvl w:ilvl="0" w:tplc="00DAE698">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723410418">
    <w:abstractNumId w:val="0"/>
  </w:num>
  <w:num w:numId="2" w16cid:durableId="24795174">
    <w:abstractNumId w:val="1"/>
  </w:num>
  <w:num w:numId="3" w16cid:durableId="454754678">
    <w:abstractNumId w:val="2"/>
  </w:num>
  <w:num w:numId="4" w16cid:durableId="719327728">
    <w:abstractNumId w:val="7"/>
  </w:num>
  <w:num w:numId="5" w16cid:durableId="1712917218">
    <w:abstractNumId w:val="4"/>
  </w:num>
  <w:num w:numId="6" w16cid:durableId="645939828">
    <w:abstractNumId w:val="3"/>
  </w:num>
  <w:num w:numId="7" w16cid:durableId="1092169351">
    <w:abstractNumId w:val="6"/>
  </w:num>
  <w:num w:numId="8" w16cid:durableId="1157958334">
    <w:abstractNumId w:val="5"/>
  </w:num>
  <w:num w:numId="9" w16cid:durableId="5125773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7596E"/>
    <w:rsid w:val="0010759C"/>
    <w:rsid w:val="00114BF6"/>
    <w:rsid w:val="00172A27"/>
    <w:rsid w:val="001A78E5"/>
    <w:rsid w:val="001C1418"/>
    <w:rsid w:val="001D1585"/>
    <w:rsid w:val="00263647"/>
    <w:rsid w:val="002A3887"/>
    <w:rsid w:val="003A308F"/>
    <w:rsid w:val="00454334"/>
    <w:rsid w:val="00477862"/>
    <w:rsid w:val="004E5C53"/>
    <w:rsid w:val="005D6D69"/>
    <w:rsid w:val="00666020"/>
    <w:rsid w:val="00750AA0"/>
    <w:rsid w:val="00763C96"/>
    <w:rsid w:val="007640FE"/>
    <w:rsid w:val="007D49AA"/>
    <w:rsid w:val="00876739"/>
    <w:rsid w:val="008A6372"/>
    <w:rsid w:val="008C3F20"/>
    <w:rsid w:val="00937801"/>
    <w:rsid w:val="009418DD"/>
    <w:rsid w:val="0097780B"/>
    <w:rsid w:val="009E3910"/>
    <w:rsid w:val="009E6C3A"/>
    <w:rsid w:val="00A20D19"/>
    <w:rsid w:val="00A22F6E"/>
    <w:rsid w:val="00A4467E"/>
    <w:rsid w:val="00AC3A9B"/>
    <w:rsid w:val="00AD5B16"/>
    <w:rsid w:val="00B52ADB"/>
    <w:rsid w:val="00C64F10"/>
    <w:rsid w:val="00D35B44"/>
    <w:rsid w:val="00D86318"/>
    <w:rsid w:val="00D87E13"/>
    <w:rsid w:val="00D9176B"/>
    <w:rsid w:val="00E8214E"/>
    <w:rsid w:val="00EA6554"/>
    <w:rsid w:val="00EB4D86"/>
    <w:rsid w:val="00EC5990"/>
    <w:rsid w:val="00EF5196"/>
    <w:rsid w:val="00F34338"/>
    <w:rsid w:val="00F745F0"/>
    <w:rsid w:val="00F76F29"/>
    <w:rsid w:val="00FA63E8"/>
    <w:rsid w:val="00FD2D76"/>
    <w:rsid w:val="01527161"/>
    <w:rsid w:val="02814740"/>
    <w:rsid w:val="039D37FE"/>
    <w:rsid w:val="07030FBB"/>
    <w:rsid w:val="07E05993"/>
    <w:rsid w:val="09E01CAE"/>
    <w:rsid w:val="0F5175D9"/>
    <w:rsid w:val="103D4439"/>
    <w:rsid w:val="106277E5"/>
    <w:rsid w:val="10F84CEA"/>
    <w:rsid w:val="1226195D"/>
    <w:rsid w:val="190D2784"/>
    <w:rsid w:val="198477CE"/>
    <w:rsid w:val="1A495E2D"/>
    <w:rsid w:val="1B543FFB"/>
    <w:rsid w:val="1CDF31CC"/>
    <w:rsid w:val="1E5E40F8"/>
    <w:rsid w:val="212A70F9"/>
    <w:rsid w:val="213243DF"/>
    <w:rsid w:val="21BE2224"/>
    <w:rsid w:val="22E64E81"/>
    <w:rsid w:val="23B0596E"/>
    <w:rsid w:val="23F9341A"/>
    <w:rsid w:val="241F01B0"/>
    <w:rsid w:val="263A4D51"/>
    <w:rsid w:val="279A5BC9"/>
    <w:rsid w:val="27CE612A"/>
    <w:rsid w:val="286B4D3A"/>
    <w:rsid w:val="2A9F4645"/>
    <w:rsid w:val="2B494BE9"/>
    <w:rsid w:val="2C3A7D4D"/>
    <w:rsid w:val="2E0454C3"/>
    <w:rsid w:val="2EF757A6"/>
    <w:rsid w:val="34B00179"/>
    <w:rsid w:val="38DA175F"/>
    <w:rsid w:val="3A3B54E5"/>
    <w:rsid w:val="3A8C2F1A"/>
    <w:rsid w:val="3B0C5174"/>
    <w:rsid w:val="3B212998"/>
    <w:rsid w:val="3CB31AE5"/>
    <w:rsid w:val="3CEB1911"/>
    <w:rsid w:val="3D5A3781"/>
    <w:rsid w:val="3DC202E2"/>
    <w:rsid w:val="3F33398A"/>
    <w:rsid w:val="4256385D"/>
    <w:rsid w:val="42A319D6"/>
    <w:rsid w:val="48784A38"/>
    <w:rsid w:val="48A921A0"/>
    <w:rsid w:val="48BF3060"/>
    <w:rsid w:val="490F3C03"/>
    <w:rsid w:val="49267B7A"/>
    <w:rsid w:val="499420AF"/>
    <w:rsid w:val="49A41CDD"/>
    <w:rsid w:val="4D0C7204"/>
    <w:rsid w:val="4D1B5E28"/>
    <w:rsid w:val="4DDB519F"/>
    <w:rsid w:val="4F7F3DDC"/>
    <w:rsid w:val="4FE71160"/>
    <w:rsid w:val="506573E3"/>
    <w:rsid w:val="52ED5501"/>
    <w:rsid w:val="53BC2643"/>
    <w:rsid w:val="55C37146"/>
    <w:rsid w:val="56D71685"/>
    <w:rsid w:val="5B35109E"/>
    <w:rsid w:val="5CA6768F"/>
    <w:rsid w:val="5CAD5CC8"/>
    <w:rsid w:val="5E5A46FE"/>
    <w:rsid w:val="60404BC3"/>
    <w:rsid w:val="6047550E"/>
    <w:rsid w:val="662C74F7"/>
    <w:rsid w:val="68173915"/>
    <w:rsid w:val="681E6361"/>
    <w:rsid w:val="682C7B6B"/>
    <w:rsid w:val="68DC5DCB"/>
    <w:rsid w:val="691D6237"/>
    <w:rsid w:val="6E7F69A0"/>
    <w:rsid w:val="6F490342"/>
    <w:rsid w:val="73467249"/>
    <w:rsid w:val="73B81602"/>
    <w:rsid w:val="783467B4"/>
    <w:rsid w:val="7A3F7480"/>
    <w:rsid w:val="7AE61B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B9879"/>
  <w15:docId w15:val="{3FD608D0-6B28-4363-9A15-5464B1E17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qFormat/>
    <w:rPr>
      <w:color w:val="0000FF"/>
      <w:u w:val="single"/>
    </w:rPr>
  </w:style>
  <w:style w:type="paragraph" w:styleId="a5">
    <w:name w:val="header"/>
    <w:basedOn w:val="a"/>
    <w:link w:val="a6"/>
    <w:rsid w:val="007D49A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7D49AA"/>
    <w:rPr>
      <w:kern w:val="2"/>
      <w:sz w:val="18"/>
      <w:szCs w:val="18"/>
    </w:rPr>
  </w:style>
  <w:style w:type="paragraph" w:styleId="a7">
    <w:name w:val="footer"/>
    <w:basedOn w:val="a"/>
    <w:link w:val="a8"/>
    <w:rsid w:val="007D49AA"/>
    <w:pPr>
      <w:tabs>
        <w:tab w:val="center" w:pos="4153"/>
        <w:tab w:val="right" w:pos="8306"/>
      </w:tabs>
      <w:snapToGrid w:val="0"/>
      <w:jc w:val="left"/>
    </w:pPr>
    <w:rPr>
      <w:sz w:val="18"/>
      <w:szCs w:val="18"/>
    </w:rPr>
  </w:style>
  <w:style w:type="character" w:customStyle="1" w:styleId="a8">
    <w:name w:val="页脚 字符"/>
    <w:basedOn w:val="a0"/>
    <w:link w:val="a7"/>
    <w:rsid w:val="007D49AA"/>
    <w:rPr>
      <w:kern w:val="2"/>
      <w:sz w:val="18"/>
      <w:szCs w:val="18"/>
    </w:rPr>
  </w:style>
  <w:style w:type="paragraph" w:styleId="a9">
    <w:name w:val="Date"/>
    <w:basedOn w:val="a"/>
    <w:next w:val="a"/>
    <w:link w:val="aa"/>
    <w:rsid w:val="00114BF6"/>
    <w:pPr>
      <w:ind w:leftChars="2500" w:left="100"/>
    </w:pPr>
  </w:style>
  <w:style w:type="character" w:customStyle="1" w:styleId="aa">
    <w:name w:val="日期 字符"/>
    <w:basedOn w:val="a0"/>
    <w:link w:val="a9"/>
    <w:rsid w:val="00114BF6"/>
    <w:rPr>
      <w:kern w:val="2"/>
      <w:sz w:val="21"/>
      <w:szCs w:val="22"/>
    </w:rPr>
  </w:style>
  <w:style w:type="paragraph" w:styleId="ab">
    <w:name w:val="List Paragraph"/>
    <w:basedOn w:val="a"/>
    <w:uiPriority w:val="99"/>
    <w:rsid w:val="00EC599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19</Pages>
  <Words>3752</Words>
  <Characters>6043</Characters>
  <Application>Microsoft Office Word</Application>
  <DocSecurity>0</DocSecurity>
  <Lines>287</Lines>
  <Paragraphs>21</Paragraphs>
  <ScaleCrop>false</ScaleCrop>
  <Company/>
  <LinksUpToDate>false</LinksUpToDate>
  <CharactersWithSpaces>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498367221@qq.com</cp:lastModifiedBy>
  <cp:revision>8</cp:revision>
  <dcterms:created xsi:type="dcterms:W3CDTF">2025-03-27T02:12:00Z</dcterms:created>
  <dcterms:modified xsi:type="dcterms:W3CDTF">2026-06-03T02:22:00Z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GrammarlyDocumentId">
    <vt:lpwstr>2480869cf144e8e6973d00c6e9d9362a1a5682899c99189dc7807e3fe1df4967</vt:lpwstr>
  </property>
</Properties>
</file>