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3.7935349237052"/>
        <w:gridCol w:w="1102.5271772869046"/>
        <w:gridCol w:w="1166.7520614007049"/>
        <w:gridCol w:w="1102.5271772869046"/>
        <w:gridCol w:w="1178.6000122754451"/>
        <w:gridCol w:w="1178.6000122754451"/>
        <w:gridCol w:w="1178.6000122754451"/>
        <w:gridCol w:w="1178.6000122754451"/>
        <w:tblGridChange w:id="0">
          <w:tblGrid>
            <w:gridCol w:w="1273.7935349237052"/>
            <w:gridCol w:w="1102.5271772869046"/>
            <w:gridCol w:w="1166.7520614007049"/>
            <w:gridCol w:w="1102.5271772869046"/>
            <w:gridCol w:w="1178.6000122754451"/>
            <w:gridCol w:w="1178.6000122754451"/>
            <w:gridCol w:w="1178.6000122754451"/>
            <w:gridCol w:w="1178.600012275445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-&gt;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cases|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 7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1 - login UI with database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2 - login authentication and landing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respective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3 - invalid login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4 - functionality for on-click event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product name to show the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5 - updating and deletion of certain specific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PO’s and sales order by certain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authorized 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6 - sales order status of product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Information must be in graphical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7 - purchase order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8 - warehouse management - purchase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order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9 - warehouse management - sales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10 - warehouse management - inventory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 11 - warehouse management -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shipment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1 - login with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2 - login authentication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3 - invalid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4 - product name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5 - purchase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6 - sales order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 7 - warehouse management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