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40" w:before="480"/>
      </w:pPr>
      <w:r>
        <w:rPr>
          <w:rFonts w:ascii="Arial" w:cs="Arial" w:eastAsia="Arial" w:hAnsi="Arial"/>
          <w:b/>
          <w:bCs/>
          <w:color w:val="1F4E79"/>
          <w:sz w:val="36"/>
          <w:szCs w:val="36"/>
        </w:rPr>
        <w:t xml:space="preserve">Document 4 — The Data: What Every Column Means</w:t>
      </w:r>
    </w:p>
    <w:p>
      <w:pPr>
        <w:spacing w:after="160"/>
        <w:jc w:val="both"/>
      </w:pPr>
      <w:r>
        <w:rPr>
          <w:rFonts w:ascii="Arial" w:cs="Arial" w:eastAsia="Arial" w:hAnsi="Arial"/>
          <w:sz w:val="22"/>
          <w:szCs w:val="22"/>
        </w:rPr>
        <w:t xml:space="preserve">This document explains the loan collection dataset in detail. Understanding the data is essential — the AI models only know this because we told them through the context JSON files. If someone asks you what 'Op bucket' means or why we use DISTINCTCOUNT for customer metrics, this document has the answer.</w:t>
      </w:r>
    </w:p>
    <w:p>
      <w:pPr>
        <w:pStyle w:val="Heading2"/>
        <w:spacing w:after="160" w:before="320"/>
      </w:pPr>
      <w:r>
        <w:rPr>
          <w:rFonts w:ascii="Arial" w:cs="Arial" w:eastAsia="Arial" w:hAnsi="Arial"/>
          <w:b/>
          <w:bCs/>
          <w:color w:val="2E75B6"/>
          <w:sz w:val="28"/>
          <w:szCs w:val="28"/>
        </w:rPr>
        <w:t xml:space="preserve">4.1 What This Dataset Is</w:t>
      </w:r>
    </w:p>
    <w:p>
      <w:pPr>
        <w:spacing w:after="160"/>
        <w:jc w:val="both"/>
      </w:pPr>
      <w:r>
        <w:rPr>
          <w:rFonts w:ascii="Arial" w:cs="Arial" w:eastAsia="Arial" w:hAnsi="Arial"/>
          <w:sz w:val="22"/>
          <w:szCs w:val="22"/>
        </w:rPr>
        <w:t xml:space="preserve">The loan_dashboard table contains one row per loan application per monthly snapshot. Each month, the collection team loads 89,255 rows covering all active loans. The data tracks:</w:t>
      </w:r>
    </w:p>
    <w:p>
      <w:pPr>
        <w:pStyle w:val="ListParagraph"/>
        <w:numPr>
          <w:ilvl w:val="0"/>
          <w:numId w:val="2"/>
        </w:numPr>
        <w:spacing w:after="100"/>
      </w:pPr>
      <w:r>
        <w:rPr>
          <w:rFonts w:ascii="Arial" w:cs="Arial" w:eastAsia="Arial" w:hAnsi="Arial"/>
          <w:sz w:val="22"/>
          <w:szCs w:val="22"/>
        </w:rPr>
        <w:t xml:space="preserve">Which risk category (bucket) the loan is in at the start and end of the month</w:t>
      </w:r>
    </w:p>
    <w:p>
      <w:pPr>
        <w:pStyle w:val="ListParagraph"/>
        <w:numPr>
          <w:ilvl w:val="0"/>
          <w:numId w:val="2"/>
        </w:numPr>
        <w:spacing w:after="100"/>
      </w:pPr>
      <w:r>
        <w:rPr>
          <w:rFonts w:ascii="Arial" w:cs="Arial" w:eastAsia="Arial" w:hAnsi="Arial"/>
          <w:sz w:val="22"/>
          <w:szCs w:val="22"/>
        </w:rPr>
        <w:t xml:space="preserve">Whether the EMI payment bounced</w:t>
      </w:r>
    </w:p>
    <w:p>
      <w:pPr>
        <w:pStyle w:val="ListParagraph"/>
        <w:numPr>
          <w:ilvl w:val="0"/>
          <w:numId w:val="2"/>
        </w:numPr>
        <w:spacing w:after="100"/>
      </w:pPr>
      <w:r>
        <w:rPr>
          <w:rFonts w:ascii="Arial" w:cs="Arial" w:eastAsia="Arial" w:hAnsi="Arial"/>
          <w:sz w:val="22"/>
          <w:szCs w:val="22"/>
        </w:rPr>
        <w:t xml:space="preserve">Whether the field executive visited the customer</w:t>
      </w:r>
    </w:p>
    <w:p>
      <w:pPr>
        <w:pStyle w:val="ListParagraph"/>
        <w:numPr>
          <w:ilvl w:val="0"/>
          <w:numId w:val="2"/>
        </w:numPr>
        <w:spacing w:after="100"/>
      </w:pPr>
      <w:r>
        <w:rPr>
          <w:rFonts w:ascii="Arial" w:cs="Arial" w:eastAsia="Arial" w:hAnsi="Arial"/>
          <w:sz w:val="22"/>
          <w:szCs w:val="22"/>
        </w:rPr>
        <w:t xml:space="preserve">Financial details: outstanding principal, total overdue</w:t>
      </w:r>
    </w:p>
    <w:p>
      <w:pPr>
        <w:pStyle w:val="ListParagraph"/>
        <w:numPr>
          <w:ilvl w:val="0"/>
          <w:numId w:val="2"/>
        </w:numPr>
        <w:spacing w:after="100"/>
      </w:pPr>
      <w:r>
        <w:rPr>
          <w:rFonts w:ascii="Arial" w:cs="Arial" w:eastAsia="Arial" w:hAnsi="Arial"/>
          <w:sz w:val="22"/>
          <w:szCs w:val="22"/>
        </w:rPr>
        <w:t xml:space="preserve">Team hierarchy: which FE, TL, SH is managing this loan</w:t>
      </w:r>
    </w:p>
    <w:p>
      <w:pPr>
        <w:pStyle w:val="Heading2"/>
        <w:spacing w:after="160" w:before="320"/>
      </w:pPr>
      <w:r>
        <w:rPr>
          <w:rFonts w:ascii="Arial" w:cs="Arial" w:eastAsia="Arial" w:hAnsi="Arial"/>
          <w:b/>
          <w:bCs/>
          <w:color w:val="2E75B6"/>
          <w:sz w:val="28"/>
          <w:szCs w:val="28"/>
        </w:rPr>
        <w:t xml:space="preserve">4.2 The Critical Granularity Rule</w:t>
      </w:r>
    </w:p>
    <w:p>
      <w:pPr>
        <w:spacing w:after="160"/>
        <w:jc w:val="both"/>
      </w:pPr>
      <w:r>
        <w:rPr>
          <w:rFonts w:ascii="Arial" w:cs="Arial" w:eastAsia="Arial" w:hAnsi="Arial"/>
          <w:sz w:val="22"/>
          <w:szCs w:val="22"/>
        </w:rPr>
        <w:t xml:space="preserve">This is the most important technical concept in the data:</w:t>
      </w:r>
    </w:p>
    <w:p>
      <w:pPr>
        <w:spacing w:after="140"/>
        <w:ind w:left="360"/>
      </w:pPr>
      <w:r>
        <w:rPr>
          <w:rFonts w:ascii="Arial" w:cs="Arial" w:eastAsia="Arial" w:hAnsi="Arial"/>
          <w:b/>
          <w:bCs/>
          <w:color w:val="C00000"/>
          <w:sz w:val="20"/>
          <w:szCs w:val="20"/>
        </w:rPr>
        <w:t xml:space="preserve">⚠️ One customer can have MULTIPLE loan applications. Always use COUNT(DISTINCT cust_id) for customer-level metrics, not COUNT(loanappno).</w:t>
      </w:r>
    </w:p>
    <w:p>
      <w:pPr>
        <w:spacing w:after="160"/>
        <w:jc w:val="both"/>
      </w:pPr>
      <w:r>
        <w:rPr>
          <w:rFonts w:ascii="Arial" w:cs="Arial" w:eastAsia="Arial" w:hAnsi="Arial"/>
          <w:sz w:val="22"/>
          <w:szCs w:val="22"/>
        </w:rPr>
        <w:t xml:space="preserve">Example: A customer has 2 home loans. If both bounce, loanappno count = 2, but cust_id count = 1. Bounce rate should be reported at customer level (1 customer bounced), not loan level (2 loans bounced). The AI models are explicitly told this rule multiple times in every prompt.</w:t>
      </w:r>
    </w:p>
    <w:p>
      <w:pPr>
        <w:pStyle w:val="Heading2"/>
        <w:spacing w:after="160" w:before="320"/>
      </w:pPr>
      <w:r>
        <w:rPr>
          <w:rFonts w:ascii="Arial" w:cs="Arial" w:eastAsia="Arial" w:hAnsi="Arial"/>
          <w:b/>
          <w:bCs/>
          <w:color w:val="2E75B6"/>
          <w:sz w:val="28"/>
          <w:szCs w:val="28"/>
        </w:rPr>
        <w:t xml:space="preserve">4.3 The Bucket System Explained</w:t>
      </w:r>
    </w:p>
    <w:p>
      <w:pPr>
        <w:spacing w:after="160"/>
        <w:jc w:val="both"/>
      </w:pPr>
      <w:r>
        <w:rPr>
          <w:rFonts w:ascii="Arial" w:cs="Arial" w:eastAsia="Arial" w:hAnsi="Arial"/>
          <w:sz w:val="22"/>
          <w:szCs w:val="22"/>
        </w:rPr>
        <w:t xml:space="preserve">The most important concept in loan collection is the bucket system. Buckets classify loans by how overdue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Bucket 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DB Value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What It Means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Who Is In It</w:t>
            </w:r>
          </w:p>
        </w:tc>
      </w:tr>
      <w:tr>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Current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Current</w:t>
            </w:r>
          </w:p>
        </w:tc>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Fully healthy, paying on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dpd=0, bounce_status='PAID', no EMI increase</w:t>
            </w:r>
          </w:p>
        </w:tc>
      </w:tr>
      <w:tr>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Risk 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Risk X</w:t>
            </w:r>
          </w:p>
        </w:tc>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DPD is zero but showing warning signs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dpd=0 but bounce was Tech/Non Tech OR EMI increased</w:t>
            </w:r>
          </w:p>
        </w:tc>
      </w:tr>
      <w:tr>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1-29 DPD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1-29 DPD</w:t>
            </w:r>
          </w:p>
        </w:tc>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1 to 29 days overdue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dpd between 1 and 29</w:t>
            </w:r>
          </w:p>
        </w:tc>
      </w:tr>
      <w:tr>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30-59 DPD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30-59 DPD</w:t>
            </w:r>
          </w:p>
        </w:tc>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30 to 59 days overdue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dpd between 30 and 59</w:t>
            </w:r>
          </w:p>
        </w:tc>
      </w:tr>
      <w:tr>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60-89 DPD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60-89 DPD</w:t>
            </w:r>
          </w:p>
        </w:tc>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60 to 89 days overdue — pre-NPA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dpd between 60 and 89, risk_npa=0</w:t>
            </w:r>
          </w:p>
        </w:tc>
      </w:tr>
      <w:tr>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NPA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NPA</w:t>
            </w:r>
          </w:p>
        </w:tc>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Non-Performing Asset — more than 90 days overdue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dpd &gt; 90 OR (60-89 DPD with risk_npa=1)</w:t>
            </w:r>
          </w:p>
        </w:tc>
      </w:tr>
      <w:tr>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Write-off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Write-off</w:t>
            </w:r>
          </w:p>
        </w:tc>
        <w:tc>
          <w:tcPr>
            <w:tcW w:type="dxa" w:w="234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Removed from books, still collecting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Cases written off from company books</w:t>
            </w:r>
          </w:p>
        </w:tc>
      </w:tr>
    </w:tbl>
    <w:p>
      <w:pPr>
        <w:pStyle w:val="Heading2"/>
        <w:spacing w:after="160" w:before="320"/>
      </w:pPr>
      <w:r>
        <w:rPr>
          <w:rFonts w:ascii="Arial" w:cs="Arial" w:eastAsia="Arial" w:hAnsi="Arial"/>
          <w:b/>
          <w:bCs/>
          <w:color w:val="2E75B6"/>
          <w:sz w:val="28"/>
          <w:szCs w:val="28"/>
        </w:rPr>
        <w:t xml:space="preserve">4.4 Bucket Movement — cust_wise_status</w:t>
      </w:r>
    </w:p>
    <w:p>
      <w:pPr>
        <w:spacing w:after="160"/>
        <w:jc w:val="both"/>
      </w:pPr>
      <w:r>
        <w:rPr>
          <w:rFonts w:ascii="Arial" w:cs="Arial" w:eastAsia="Arial" w:hAnsi="Arial"/>
          <w:sz w:val="22"/>
          <w:szCs w:val="22"/>
        </w:rPr>
        <w:t xml:space="preserve">One of the most powerful metrics is how a customer's bucket changed between the start and end of the month. This is stored in cust_wise_status, derived by comparing op_bucket (opening) and closing_bucket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Status 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Example Movement</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Was Current and stayed Current</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Current → Current</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IMPROVED — moved to a better bucket</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30-59 DPD → Risk X, or NPA → Current</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WORSENED — moved to a worse bucket</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1-29 DPD → 30-59 DPD, or Risk X → 30-59 DPD</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STABLE — stayed in same bucket</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30-59 DPD → 30-59 DPD</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Roll 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PARTIALLY IMPROVED — moved up one bucket</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30-59 DPD → 1-29 DPD</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Risk NPA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NEAR NPA — likely to become NPA next month</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60-89 DPD → NPA or 30-59 DPD → 60-89 DPD</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NPA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Still NPA</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NPA → NPA</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Write-off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Still written off</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Write-off → Write-off</w:t>
            </w:r>
          </w:p>
        </w:tc>
      </w:tr>
    </w:tbl>
    <w:p>
      <w:pPr>
        <w:spacing w:after="160"/>
        <w:jc w:val="both"/>
      </w:pPr>
      <w:r>
        <w:rPr>
          <w:rFonts w:ascii="Arial" w:cs="Arial" w:eastAsia="Arial" w:hAnsi="Arial"/>
          <w:sz w:val="22"/>
          <w:szCs w:val="22"/>
        </w:rPr>
        <w:t xml:space="preserve">Resolution % = percentage of customers with cust_wise_status = 'Norm'. A collections team's primary goal is to maximize this number.</w:t>
      </w:r>
    </w:p>
    <w:p>
      <w:pPr>
        <w:pStyle w:val="Heading2"/>
        <w:spacing w:after="160" w:before="320"/>
      </w:pPr>
      <w:r>
        <w:rPr>
          <w:rFonts w:ascii="Arial" w:cs="Arial" w:eastAsia="Arial" w:hAnsi="Arial"/>
          <w:b/>
          <w:bCs/>
          <w:color w:val="2E75B6"/>
          <w:sz w:val="28"/>
          <w:szCs w:val="28"/>
        </w:rPr>
        <w:t xml:space="preserve">4.5 Bounce Status Explained</w:t>
      </w:r>
    </w:p>
    <w:p>
      <w:pPr>
        <w:spacing w:after="160"/>
        <w:jc w:val="both"/>
      </w:pPr>
      <w:r>
        <w:rPr>
          <w:rFonts w:ascii="Arial" w:cs="Arial" w:eastAsia="Arial" w:hAnsi="Arial"/>
          <w:sz w:val="22"/>
          <w:szCs w:val="22"/>
        </w:rPr>
        <w:t xml:space="preserve">When a customer's EMI payment fails, it is called a bounce. There are three possible values:</w:t>
      </w:r>
    </w:p>
    <w:p>
      <w:pPr>
        <w:pStyle w:val="ListParagraph"/>
        <w:numPr>
          <w:ilvl w:val="0"/>
          <w:numId w:val="2"/>
        </w:numPr>
        <w:spacing w:after="100"/>
      </w:pPr>
      <w:r>
        <w:rPr>
          <w:rFonts w:ascii="Arial" w:cs="Arial" w:eastAsia="Arial" w:hAnsi="Arial"/>
          <w:sz w:val="22"/>
          <w:szCs w:val="22"/>
        </w:rPr>
        <w:t xml:space="preserve">PAID — The NACH (automatic bank debit) succeeded. Customer paid. NOT a bounce.</w:t>
      </w:r>
    </w:p>
    <w:p>
      <w:pPr>
        <w:pStyle w:val="ListParagraph"/>
        <w:numPr>
          <w:ilvl w:val="0"/>
          <w:numId w:val="2"/>
        </w:numPr>
        <w:spacing w:after="100"/>
      </w:pPr>
      <w:r>
        <w:rPr>
          <w:rFonts w:ascii="Arial" w:cs="Arial" w:eastAsia="Arial" w:hAnsi="Arial"/>
          <w:sz w:val="22"/>
          <w:szCs w:val="22"/>
        </w:rPr>
        <w:t xml:space="preserve">Tech — Technical bounce: payment failed due to a bank/system error, not customer's fault</w:t>
      </w:r>
    </w:p>
    <w:p>
      <w:pPr>
        <w:pStyle w:val="ListParagraph"/>
        <w:numPr>
          <w:ilvl w:val="0"/>
          <w:numId w:val="2"/>
        </w:numPr>
        <w:spacing w:after="100"/>
      </w:pPr>
      <w:r>
        <w:rPr>
          <w:rFonts w:ascii="Arial" w:cs="Arial" w:eastAsia="Arial" w:hAnsi="Arial"/>
          <w:sz w:val="22"/>
          <w:szCs w:val="22"/>
        </w:rPr>
        <w:t xml:space="preserve">Non Tech — Non-technical bounce: customer intentionally did not maintain sufficient balance</w:t>
      </w:r>
    </w:p>
    <w:p>
      <w:pPr>
        <w:spacing w:after="140"/>
        <w:ind w:left="360"/>
      </w:pPr>
      <w:r>
        <w:rPr>
          <w:rFonts w:ascii="Arial" w:cs="Arial" w:eastAsia="Arial" w:hAnsi="Arial"/>
          <w:b/>
          <w:bCs/>
          <w:color w:val="C00000"/>
          <w:sz w:val="20"/>
          <w:szCs w:val="20"/>
        </w:rPr>
        <w:t xml:space="preserve">⚠️ PAID is NEVER counted as a bounce. This is stated in every system prompt because models sometimes include PAID in bounce counts. bounce_status IN ('Tech', 'Non Tech') is the only correct filter.</w:t>
      </w:r>
    </w:p>
    <w:p>
      <w:pPr>
        <w:pStyle w:val="Heading2"/>
        <w:spacing w:after="160" w:before="320"/>
      </w:pPr>
      <w:r>
        <w:rPr>
          <w:rFonts w:ascii="Arial" w:cs="Arial" w:eastAsia="Arial" w:hAnsi="Arial"/>
          <w:b/>
          <w:bCs/>
          <w:color w:val="2E75B6"/>
          <w:sz w:val="28"/>
          <w:szCs w:val="28"/>
        </w:rPr>
        <w:t xml:space="preserve">4.6 Coverage Metrics Explained</w:t>
      </w:r>
    </w:p>
    <w:p>
      <w:pPr>
        <w:spacing w:after="160"/>
        <w:jc w:val="both"/>
      </w:pPr>
      <w:r>
        <w:rPr>
          <w:rFonts w:ascii="Arial" w:cs="Arial" w:eastAsia="Arial" w:hAnsi="Arial"/>
          <w:sz w:val="22"/>
          <w:szCs w:val="22"/>
        </w:rPr>
        <w:t xml:space="preserve">Coverage tracks how well the field team is visiting customers. It has specific logic:</w:t>
      </w:r>
    </w:p>
    <w:p>
      <w:pPr>
        <w:pStyle w:val="ListParagraph"/>
        <w:numPr>
          <w:ilvl w:val="0"/>
          <w:numId w:val="2"/>
        </w:numPr>
        <w:spacing w:after="100"/>
      </w:pPr>
      <w:r>
        <w:rPr>
          <w:rFonts w:ascii="Arial" w:cs="Arial" w:eastAsia="Arial" w:hAnsi="Arial"/>
          <w:sz w:val="22"/>
          <w:szCs w:val="22"/>
        </w:rPr>
        <w:t xml:space="preserve">Allocated: An FE (field executive) has been assigned to this loan (allocation_1 is not 'NA')</w:t>
      </w:r>
    </w:p>
    <w:p>
      <w:pPr>
        <w:pStyle w:val="ListParagraph"/>
        <w:numPr>
          <w:ilvl w:val="0"/>
          <w:numId w:val="2"/>
        </w:numPr>
        <w:spacing w:after="100"/>
      </w:pPr>
      <w:r>
        <w:rPr>
          <w:rFonts w:ascii="Arial" w:cs="Arial" w:eastAsia="Arial" w:hAnsi="Arial"/>
          <w:sz w:val="22"/>
          <w:szCs w:val="22"/>
        </w:rPr>
        <w:t xml:space="preserve">Visited: The FE actually visited the customer during this month (visit_or_not = 'Visited')</w:t>
      </w:r>
    </w:p>
    <w:p>
      <w:pPr>
        <w:pStyle w:val="ListParagraph"/>
        <w:numPr>
          <w:ilvl w:val="0"/>
          <w:numId w:val="2"/>
        </w:numPr>
        <w:spacing w:after="100"/>
      </w:pPr>
      <w:r>
        <w:rPr>
          <w:rFonts w:ascii="Arial" w:cs="Arial" w:eastAsia="Arial" w:hAnsi="Arial"/>
          <w:sz w:val="22"/>
          <w:szCs w:val="22"/>
        </w:rPr>
        <w:t xml:space="preserve">Coverage % = Visited AND Allocated / All Allocated — denominator is ONLY allocated accounts</w:t>
      </w:r>
    </w:p>
    <w:p>
      <w:pPr>
        <w:pStyle w:val="ListParagraph"/>
        <w:numPr>
          <w:ilvl w:val="0"/>
          <w:numId w:val="2"/>
        </w:numPr>
        <w:spacing w:after="100"/>
      </w:pPr>
      <w:r>
        <w:rPr>
          <w:rFonts w:ascii="Arial" w:cs="Arial" w:eastAsia="Arial" w:hAnsi="Arial"/>
          <w:sz w:val="22"/>
          <w:szCs w:val="22"/>
        </w:rPr>
        <w:t xml:space="preserve">Intensity = Average visits per customer = SUM(visit_count) / COUNT(DISTINCT cust_id)</w:t>
      </w:r>
    </w:p>
    <w:p>
      <w:pPr>
        <w:spacing w:after="140"/>
        <w:ind w:left="360"/>
      </w:pPr>
      <w:r>
        <w:rPr>
          <w:rFonts w:ascii="Arial" w:cs="Arial" w:eastAsia="Arial" w:hAnsi="Arial"/>
          <w:i/>
          <w:iCs/>
          <w:color w:val="555555"/>
          <w:sz w:val="20"/>
          <w:szCs w:val="20"/>
        </w:rPr>
        <w:t xml:space="preserve">💡 Unallocated accounts are excluded from Coverage % — they are the Sales team's responsibility, not Collection.</w:t>
      </w:r>
    </w:p>
    <w:p>
      <w:pPr>
        <w:pStyle w:val="Heading2"/>
        <w:spacing w:after="160" w:before="320"/>
      </w:pPr>
      <w:r>
        <w:rPr>
          <w:rFonts w:ascii="Arial" w:cs="Arial" w:eastAsia="Arial" w:hAnsi="Arial"/>
          <w:b/>
          <w:bCs/>
          <w:color w:val="2E75B6"/>
          <w:sz w:val="28"/>
          <w:szCs w:val="28"/>
        </w:rPr>
        <w:t xml:space="preserve">4.7 The Column Name Problem and Why It Exists</w:t>
      </w:r>
    </w:p>
    <w:p>
      <w:pPr>
        <w:spacing w:after="160"/>
        <w:jc w:val="both"/>
      </w:pPr>
      <w:r>
        <w:rPr>
          <w:rFonts w:ascii="Arial" w:cs="Arial" w:eastAsia="Arial" w:hAnsi="Arial"/>
          <w:sz w:val="22"/>
          <w:szCs w:val="22"/>
        </w:rPr>
        <w:t xml:space="preserve">The PostgreSQL database stores columns in snake_case: op_bucket, cust_id, bounce_status. This is standard database convention — lowercase, underscores, no spaces.</w:t>
      </w:r>
    </w:p>
    <w:p>
      <w:pPr>
        <w:spacing w:after="160"/>
        <w:jc w:val="both"/>
      </w:pPr>
      <w:r>
        <w:rPr>
          <w:rFonts w:ascii="Arial" w:cs="Arial" w:eastAsia="Arial" w:hAnsi="Arial"/>
          <w:sz w:val="22"/>
          <w:szCs w:val="22"/>
        </w:rPr>
        <w:t xml:space="preserve">The business users and all our context JSON files use display names: Op bucket, Cust ID, Bounce status. These are more readable for humans.</w:t>
      </w:r>
    </w:p>
    <w:p>
      <w:pPr>
        <w:spacing w:after="160"/>
        <w:jc w:val="both"/>
      </w:pPr>
      <w:r>
        <w:rPr>
          <w:rFonts w:ascii="Arial" w:cs="Arial" w:eastAsia="Arial" w:hAnsi="Arial"/>
          <w:sz w:val="22"/>
          <w:szCs w:val="22"/>
        </w:rPr>
        <w:t xml:space="preserve">The system must translate between these two worlds constantly:</w:t>
      </w:r>
    </w:p>
    <w:p>
      <w:pPr>
        <w:pStyle w:val="ListParagraph"/>
        <w:numPr>
          <w:ilvl w:val="0"/>
          <w:numId w:val="2"/>
        </w:numPr>
        <w:spacing w:after="100"/>
      </w:pPr>
      <w:r>
        <w:rPr>
          <w:rFonts w:ascii="Arial" w:cs="Arial" w:eastAsia="Arial" w:hAnsi="Arial"/>
          <w:sz w:val="22"/>
          <w:szCs w:val="22"/>
        </w:rPr>
        <w:t xml:space="preserve">SQL generation uses snake_case (what the database expects)</w:t>
      </w:r>
    </w:p>
    <w:p>
      <w:pPr>
        <w:pStyle w:val="ListParagraph"/>
        <w:numPr>
          <w:ilvl w:val="0"/>
          <w:numId w:val="2"/>
        </w:numPr>
        <w:spacing w:after="100"/>
      </w:pPr>
      <w:r>
        <w:rPr>
          <w:rFonts w:ascii="Arial" w:cs="Arial" w:eastAsia="Arial" w:hAnsi="Arial"/>
          <w:sz w:val="22"/>
          <w:szCs w:val="22"/>
        </w:rPr>
        <w:t xml:space="preserve">Chart rendering uses display names (what the column rename map produces)</w:t>
      </w:r>
    </w:p>
    <w:p>
      <w:pPr>
        <w:pStyle w:val="ListParagraph"/>
        <w:numPr>
          <w:ilvl w:val="0"/>
          <w:numId w:val="2"/>
        </w:numPr>
        <w:spacing w:after="100"/>
      </w:pPr>
      <w:r>
        <w:rPr>
          <w:rFonts w:ascii="Arial" w:cs="Arial" w:eastAsia="Arial" w:hAnsi="Arial"/>
          <w:sz w:val="22"/>
          <w:szCs w:val="22"/>
        </w:rPr>
        <w:t xml:space="preserve">Clarifying questions use display names (what users understand)</w:t>
      </w:r>
    </w:p>
    <w:p>
      <w:pPr>
        <w:pStyle w:val="ListParagraph"/>
        <w:numPr>
          <w:ilvl w:val="0"/>
          <w:numId w:val="2"/>
        </w:numPr>
        <w:spacing w:after="100"/>
      </w:pPr>
      <w:r>
        <w:rPr>
          <w:rFonts w:ascii="Arial" w:cs="Arial" w:eastAsia="Arial" w:hAnsi="Arial"/>
          <w:sz w:val="22"/>
          <w:szCs w:val="22"/>
        </w:rPr>
        <w:t xml:space="preserve">Slicer answers from users use display names (Region, Branch)</w:t>
      </w:r>
    </w:p>
    <w:p>
      <w:pPr>
        <w:pStyle w:val="ListParagraph"/>
        <w:numPr>
          <w:ilvl w:val="0"/>
          <w:numId w:val="2"/>
        </w:numPr>
        <w:spacing w:after="100"/>
      </w:pPr>
      <w:r>
        <w:rPr>
          <w:rFonts w:ascii="Arial" w:cs="Arial" w:eastAsia="Arial" w:hAnsi="Arial"/>
          <w:sz w:val="22"/>
          <w:szCs w:val="22"/>
        </w:rPr>
        <w:t xml:space="preserve">These are translated to snake_case before building WHERE clauses</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2026-04-29T07:13:22.570Z</dcterms:created>
  <dcterms:modified xsi:type="dcterms:W3CDTF">2026-04-29T07:13:22.570Z</dcterms:modified>
</cp:coreProperties>
</file>

<file path=docProps/custom.xml><?xml version="1.0" encoding="utf-8"?>
<Properties xmlns="http://schemas.openxmlformats.org/officeDocument/2006/custom-properties" xmlns:vt="http://schemas.openxmlformats.org/officeDocument/2006/docPropsVTypes"/>
</file>