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2E75B6" w:sz="8" w:space="4"/>
        </w:pBdr>
        <w:spacing w:after="240" w:before="480"/>
      </w:pPr>
      <w:r>
        <w:rPr>
          <w:rFonts w:ascii="Arial" w:cs="Arial" w:eastAsia="Arial" w:hAnsi="Arial"/>
          <w:b/>
          <w:bCs/>
          <w:color w:val="1F4E79"/>
          <w:sz w:val="36"/>
          <w:szCs w:val="36"/>
        </w:rPr>
        <w:t xml:space="preserve">Document 6 — The Code Architecture: Why Each File Exists</w:t>
      </w:r>
    </w:p>
    <w:p>
      <w:pPr>
        <w:spacing w:after="160"/>
        <w:jc w:val="both"/>
      </w:pPr>
      <w:r>
        <w:rPr>
          <w:rFonts w:ascii="Arial" w:cs="Arial" w:eastAsia="Arial" w:hAnsi="Arial"/>
          <w:sz w:val="22"/>
          <w:szCs w:val="22"/>
        </w:rPr>
        <w:t xml:space="preserve">This document explains the reasoning behind the folder structure and why code is organized the way it is. Understanding architecture means understanding why we separated things instead of putting everything in one file.</w:t>
      </w:r>
    </w:p>
    <w:p>
      <w:pPr>
        <w:pStyle w:val="Heading2"/>
        <w:spacing w:after="160" w:before="320"/>
      </w:pPr>
      <w:r>
        <w:rPr>
          <w:rFonts w:ascii="Arial" w:cs="Arial" w:eastAsia="Arial" w:hAnsi="Arial"/>
          <w:b/>
          <w:bCs/>
          <w:color w:val="2E75B6"/>
          <w:sz w:val="28"/>
          <w:szCs w:val="28"/>
        </w:rPr>
        <w:t xml:space="preserve">6.1 The Layered Architecture</w:t>
      </w:r>
    </w:p>
    <w:p>
      <w:pPr>
        <w:spacing w:after="160"/>
        <w:jc w:val="both"/>
      </w:pPr>
      <w:r>
        <w:rPr>
          <w:rFonts w:ascii="Arial" w:cs="Arial" w:eastAsia="Arial" w:hAnsi="Arial"/>
          <w:sz w:val="22"/>
          <w:szCs w:val="22"/>
        </w:rPr>
        <w:t xml:space="preserve">The codebase is organized in layers, where each layer has one responsibility and depends only on layers below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Layer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Files</w:t>
            </w:r>
          </w:p>
        </w:tc>
        <w:tc>
          <w:tcPr>
            <w:tcW w:type="dxa" w:w="3120"/>
            <w:tcBorders>
              <w:top w:val="single" w:color="CCCCCC" w:sz="1"/>
              <w:left w:val="single" w:color="CCCCCC" w:sz="1"/>
              <w:bottom w:val="single" w:color="CCCCCC" w:sz="1"/>
              <w:right w:val="single" w:color="CCCCCC" w:sz="1"/>
            </w:tcBorders>
            <w:shd w:fill="1F4E79" w:val="clear"/>
            <w:tcMar>
              <w:top w:type="dxa" w:w="80"/>
              <w:left w:type="dxa" w:w="160"/>
              <w:bottom w:type="dxa" w:w="80"/>
              <w:right w:type="dxa" w:w="160"/>
            </w:tcMar>
          </w:tcPr>
          <w:p>
            <w:r>
              <w:rPr>
                <w:rFonts w:ascii="Arial" w:cs="Arial" w:eastAsia="Arial" w:hAnsi="Arial"/>
                <w:b/>
                <w:bCs/>
                <w:color w:val="FFFFFF"/>
                <w:sz w:val="20"/>
                <w:szCs w:val="20"/>
              </w:rPr>
              <w:t xml:space="preserve">Responsibility</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UI Layer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app.py, ui/</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Streamlit rendering, session management, pipeline orchestration</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Models Layer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models/</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AI model calls, prompt engineering, response parsing</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Charts Layer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charts/</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Plotly figure creation and routing</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Database Layer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database/</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PostgreSQL connection, query execution, mock data</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Core Layer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core/</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ChromaDB, filter management, session state</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Utils Layer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utils/</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Logging, benchmarking, shared helpers — no business logic</w:t>
            </w:r>
          </w:p>
        </w:tc>
      </w:tr>
      <w:tr>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Config Layer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Arial" w:cs="Arial" w:eastAsia="Arial" w:hAnsi="Arial"/>
                <w:b w:val="false"/>
                <w:bCs w:val="false"/>
                <w:color w:val="000000"/>
                <w:sz w:val="20"/>
                <w:szCs w:val="20"/>
              </w:rPr>
              <w:t xml:space="preserve">config.py, .env</w:t>
            </w:r>
          </w:p>
        </w:tc>
        <w:tc>
          <w:tcPr>
            <w:tcW w:type="dxa" w:w="3120"/>
            <w:tcBorders>
              <w:top w:val="single" w:color="CCCCCC" w:sz="1"/>
              <w:left w:val="single" w:color="CCCCCC" w:sz="1"/>
              <w:bottom w:val="single" w:color="CCCCCC" w:sz="1"/>
              <w:right w:val="single" w:color="CCCCCC" w:sz="1"/>
            </w:tcBorders>
            <w:shd w:fill="F2F8FF" w:val="clear"/>
            <w:tcMar>
              <w:top w:type="dxa" w:w="80"/>
              <w:left w:type="dxa" w:w="160"/>
              <w:bottom w:type="dxa" w:w="80"/>
              <w:right w:type="dxa" w:w="160"/>
            </w:tcMar>
          </w:tcPr>
          <w:p>
            <w:r>
              <w:rPr>
                <w:rFonts w:ascii="Arial" w:cs="Arial" w:eastAsia="Arial" w:hAnsi="Arial"/>
                <w:b w:val="false"/>
                <w:bCs w:val="false"/>
                <w:color w:val="000000"/>
                <w:sz w:val="20"/>
                <w:szCs w:val="20"/>
              </w:rPr>
              <w:t xml:space="preserve">All constants and credentials — imported everywhere else</w:t>
            </w:r>
          </w:p>
        </w:tc>
      </w:tr>
    </w:tbl>
    <w:p>
      <w:pPr>
        <w:spacing w:after="160"/>
        <w:jc w:val="both"/>
      </w:pPr>
      <w:r>
        <w:rPr>
          <w:rFonts w:ascii="Arial" w:cs="Arial" w:eastAsia="Arial" w:hAnsi="Arial"/>
          <w:sz w:val="22"/>
          <w:szCs w:val="22"/>
        </w:rPr>
        <w:t xml:space="preserve">The key rule: code in a higher layer can import from lower layers, but NEVER the reverse. chart files never import from models. models never import from ui. This prevents circular dependencies and makes each layer independently testable.</w:t>
      </w:r>
    </w:p>
    <w:p>
      <w:pPr>
        <w:pStyle w:val="Heading2"/>
        <w:spacing w:after="160" w:before="320"/>
      </w:pPr>
      <w:r>
        <w:rPr>
          <w:rFonts w:ascii="Arial" w:cs="Arial" w:eastAsia="Arial" w:hAnsi="Arial"/>
          <w:b/>
          <w:bCs/>
          <w:color w:val="2E75B6"/>
          <w:sz w:val="28"/>
          <w:szCs w:val="28"/>
        </w:rPr>
        <w:t xml:space="preserve">6.2 Why utils/ Has No Business Logic</w:t>
      </w:r>
    </w:p>
    <w:p>
      <w:pPr>
        <w:spacing w:after="160"/>
        <w:jc w:val="both"/>
      </w:pPr>
      <w:r>
        <w:rPr>
          <w:rFonts w:ascii="Arial" w:cs="Arial" w:eastAsia="Arial" w:hAnsi="Arial"/>
          <w:sz w:val="22"/>
          <w:szCs w:val="22"/>
        </w:rPr>
        <w:t xml:space="preserve">logger.py, benchmark.py, and helpers.py contain zero domain knowledge. They know nothing about loans, bounces, or buckets. This is intentional — utilities should be reusable in any project.</w:t>
      </w:r>
    </w:p>
    <w:p>
      <w:pPr>
        <w:spacing w:after="160"/>
        <w:jc w:val="both"/>
      </w:pPr>
      <w:r>
        <w:rPr>
          <w:rFonts w:ascii="Arial" w:cs="Arial" w:eastAsia="Arial" w:hAnsi="Arial"/>
          <w:sz w:val="22"/>
          <w:szCs w:val="22"/>
        </w:rPr>
        <w:t xml:space="preserve">If we put loan-specific code in helpers.py, we could not reuse helpers.py in a different project without carrying loan business logic with it. Separation keeps utility code clean.</w:t>
      </w:r>
    </w:p>
    <w:p>
      <w:pPr>
        <w:pStyle w:val="Heading2"/>
        <w:spacing w:after="160" w:before="320"/>
      </w:pPr>
      <w:r>
        <w:rPr>
          <w:rFonts w:ascii="Arial" w:cs="Arial" w:eastAsia="Arial" w:hAnsi="Arial"/>
          <w:b/>
          <w:bCs/>
          <w:color w:val="2E75B6"/>
          <w:sz w:val="28"/>
          <w:szCs w:val="28"/>
        </w:rPr>
        <w:t xml:space="preserve">6.3 Why Each Model File Is Separate</w:t>
      </w:r>
    </w:p>
    <w:p>
      <w:pPr>
        <w:spacing w:after="160"/>
        <w:jc w:val="both"/>
      </w:pPr>
      <w:r>
        <w:rPr>
          <w:rFonts w:ascii="Arial" w:cs="Arial" w:eastAsia="Arial" w:hAnsi="Arial"/>
          <w:sz w:val="22"/>
          <w:szCs w:val="22"/>
        </w:rPr>
        <w:t xml:space="preserve">analyzer.py, clarifier.py, sql_generator.py, chart_decider.py, and insight_generator.py each handle exactly one pipeline step. This separation has concrete benefits:</w:t>
      </w:r>
    </w:p>
    <w:p>
      <w:pPr>
        <w:pStyle w:val="ListParagraph"/>
        <w:numPr>
          <w:ilvl w:val="0"/>
          <w:numId w:val="2"/>
        </w:numPr>
        <w:spacing w:after="100"/>
      </w:pPr>
      <w:r>
        <w:rPr>
          <w:rFonts w:ascii="Arial" w:cs="Arial" w:eastAsia="Arial" w:hAnsi="Arial"/>
          <w:sz w:val="22"/>
          <w:szCs w:val="22"/>
        </w:rPr>
        <w:t xml:space="preserve">Independent testing: You can test SQL generation without running intent analysis</w:t>
      </w:r>
    </w:p>
    <w:p>
      <w:pPr>
        <w:pStyle w:val="ListParagraph"/>
        <w:numPr>
          <w:ilvl w:val="0"/>
          <w:numId w:val="2"/>
        </w:numPr>
        <w:spacing w:after="100"/>
      </w:pPr>
      <w:r>
        <w:rPr>
          <w:rFonts w:ascii="Arial" w:cs="Arial" w:eastAsia="Arial" w:hAnsi="Arial"/>
          <w:sz w:val="22"/>
          <w:szCs w:val="22"/>
        </w:rPr>
        <w:t xml:space="preserve">Independent replacement: Swap the SQL generator for a different approach without touching the clarifier</w:t>
      </w:r>
    </w:p>
    <w:p>
      <w:pPr>
        <w:pStyle w:val="ListParagraph"/>
        <w:numPr>
          <w:ilvl w:val="0"/>
          <w:numId w:val="2"/>
        </w:numPr>
        <w:spacing w:after="100"/>
      </w:pPr>
      <w:r>
        <w:rPr>
          <w:rFonts w:ascii="Arial" w:cs="Arial" w:eastAsia="Arial" w:hAnsi="Arial"/>
          <w:sz w:val="22"/>
          <w:szCs w:val="22"/>
        </w:rPr>
        <w:t xml:space="preserve">Independent prompts: Each step has its own system prompt optimized for its specific task</w:t>
      </w:r>
    </w:p>
    <w:p>
      <w:pPr>
        <w:pStyle w:val="ListParagraph"/>
        <w:numPr>
          <w:ilvl w:val="0"/>
          <w:numId w:val="2"/>
        </w:numPr>
        <w:spacing w:after="100"/>
      </w:pPr>
      <w:r>
        <w:rPr>
          <w:rFonts w:ascii="Arial" w:cs="Arial" w:eastAsia="Arial" w:hAnsi="Arial"/>
          <w:sz w:val="22"/>
          <w:szCs w:val="22"/>
        </w:rPr>
        <w:t xml:space="preserve">Clear debugging: When something goes wrong, you know immediately which step failed</w:t>
      </w:r>
    </w:p>
    <w:p>
      <w:pPr>
        <w:spacing w:after="160"/>
        <w:jc w:val="both"/>
      </w:pPr>
      <w:r>
        <w:rPr>
          <w:rFonts w:ascii="Arial" w:cs="Arial" w:eastAsia="Arial" w:hAnsi="Arial"/>
          <w:sz w:val="22"/>
          <w:szCs w:val="22"/>
        </w:rPr>
        <w:t xml:space="preserve">The alternative — one giant 'pipeline.py' file — would make it impossible to know which part of the code is responsible for which failure.</w:t>
      </w:r>
    </w:p>
    <w:p>
      <w:pPr>
        <w:pStyle w:val="Heading2"/>
        <w:spacing w:after="160" w:before="320"/>
      </w:pPr>
      <w:r>
        <w:rPr>
          <w:rFonts w:ascii="Arial" w:cs="Arial" w:eastAsia="Arial" w:hAnsi="Arial"/>
          <w:b/>
          <w:bCs/>
          <w:color w:val="2E75B6"/>
          <w:sz w:val="28"/>
          <w:szCs w:val="28"/>
        </w:rPr>
        <w:t xml:space="preserve">6.4 Why database/ Has Three Files</w:t>
      </w:r>
    </w:p>
    <w:p>
      <w:pPr>
        <w:pStyle w:val="Heading3"/>
        <w:spacing w:after="100" w:before="200"/>
      </w:pPr>
      <w:r>
        <w:rPr>
          <w:rFonts w:ascii="Arial" w:cs="Arial" w:eastAsia="Arial" w:hAnsi="Arial"/>
          <w:b/>
          <w:bCs/>
          <w:color w:val="006064"/>
          <w:sz w:val="24"/>
          <w:szCs w:val="24"/>
        </w:rPr>
        <w:t xml:space="preserve">connection.py — The pool</w:t>
      </w:r>
    </w:p>
    <w:p>
      <w:pPr>
        <w:spacing w:after="160"/>
        <w:jc w:val="both"/>
      </w:pPr>
      <w:r>
        <w:rPr>
          <w:rFonts w:ascii="Arial" w:cs="Arial" w:eastAsia="Arial" w:hAnsi="Arial"/>
          <w:sz w:val="22"/>
          <w:szCs w:val="22"/>
        </w:rPr>
        <w:t xml:space="preserve">Only one thing: maintains the SQLAlchemy connection pool. No query logic, no business rules, just raw execute(sql) → DataFrame. This is tested by calling db.ping() and checking if SELECT 1 returns.</w:t>
      </w:r>
    </w:p>
    <w:p>
      <w:pPr>
        <w:pStyle w:val="Heading3"/>
        <w:spacing w:after="100" w:before="200"/>
      </w:pPr>
      <w:r>
        <w:rPr>
          <w:rFonts w:ascii="Arial" w:cs="Arial" w:eastAsia="Arial" w:hAnsi="Arial"/>
          <w:b/>
          <w:bCs/>
          <w:color w:val="006064"/>
          <w:sz w:val="24"/>
          <w:szCs w:val="24"/>
        </w:rPr>
        <w:t xml:space="preserve">client.py — The orchestrator</w:t>
      </w:r>
    </w:p>
    <w:p>
      <w:pPr>
        <w:spacing w:after="160"/>
        <w:jc w:val="both"/>
      </w:pPr>
      <w:r>
        <w:rPr>
          <w:rFonts w:ascii="Arial" w:cs="Arial" w:eastAsia="Arial" w:hAnsi="Arial"/>
          <w:sz w:val="22"/>
          <w:szCs w:val="22"/>
        </w:rPr>
        <w:t xml:space="preserve">Validates SQL, routes to real database or mock, cleans column names on the way out. Knows about the rename_map but not about the connection pool internals.</w:t>
      </w:r>
    </w:p>
    <w:p>
      <w:pPr>
        <w:pStyle w:val="Heading3"/>
        <w:spacing w:after="100" w:before="200"/>
      </w:pPr>
      <w:r>
        <w:rPr>
          <w:rFonts w:ascii="Arial" w:cs="Arial" w:eastAsia="Arial" w:hAnsi="Arial"/>
          <w:b/>
          <w:bCs/>
          <w:color w:val="006064"/>
          <w:sz w:val="24"/>
          <w:szCs w:val="24"/>
        </w:rPr>
        <w:t xml:space="preserve">mock.py — The simulator</w:t>
      </w:r>
    </w:p>
    <w:p>
      <w:pPr>
        <w:spacing w:after="160"/>
        <w:jc w:val="both"/>
      </w:pPr>
      <w:r>
        <w:rPr>
          <w:rFonts w:ascii="Arial" w:cs="Arial" w:eastAsia="Arial" w:hAnsi="Arial"/>
          <w:sz w:val="22"/>
          <w:szCs w:val="22"/>
        </w:rPr>
        <w:t xml:space="preserve">Generates realistic fake data without touching the database. Critical for demos and development. Seeded with numpy.random.seed(42) so the same question always returns the same mock data — essential for reproducible demos.</w:t>
      </w:r>
    </w:p>
    <w:p>
      <w:pPr>
        <w:spacing w:after="160"/>
        <w:jc w:val="both"/>
      </w:pPr>
      <w:r>
        <w:rPr>
          <w:rFonts w:ascii="Arial" w:cs="Arial" w:eastAsia="Arial" w:hAnsi="Arial"/>
          <w:sz w:val="22"/>
          <w:szCs w:val="22"/>
        </w:rPr>
        <w:t xml:space="preserve">Why three files instead of one? Because you should be able to swap out any one piece. Replace mock.py with a different data generator. Replace connection.py with a cloud database connection. Neither change affects the other.</w:t>
      </w:r>
    </w:p>
    <w:p>
      <w:pPr>
        <w:pStyle w:val="Heading2"/>
        <w:spacing w:after="160" w:before="320"/>
      </w:pPr>
      <w:r>
        <w:rPr>
          <w:rFonts w:ascii="Arial" w:cs="Arial" w:eastAsia="Arial" w:hAnsi="Arial"/>
          <w:b/>
          <w:bCs/>
          <w:color w:val="2E75B6"/>
          <w:sz w:val="28"/>
          <w:szCs w:val="28"/>
        </w:rPr>
        <w:t xml:space="preserve">6.5 Why Each Chart Type Has Its Own File</w:t>
      </w:r>
    </w:p>
    <w:p>
      <w:pPr>
        <w:spacing w:after="160"/>
        <w:jc w:val="both"/>
      </w:pPr>
      <w:r>
        <w:rPr>
          <w:rFonts w:ascii="Arial" w:cs="Arial" w:eastAsia="Arial" w:hAnsi="Arial"/>
          <w:sz w:val="22"/>
          <w:szCs w:val="22"/>
        </w:rPr>
        <w:t xml:space="preserve">bar.py, line.py, heatmap.py, kde.py, scatter.py, boxplot.py, treemap.py each contain one render() function. The renderer.py file just routes to the correct one.</w:t>
      </w:r>
    </w:p>
    <w:p>
      <w:pPr>
        <w:spacing w:after="160"/>
        <w:jc w:val="both"/>
      </w:pPr>
      <w:r>
        <w:rPr>
          <w:rFonts w:ascii="Arial" w:cs="Arial" w:eastAsia="Arial" w:hAnsi="Arial"/>
          <w:sz w:val="22"/>
          <w:szCs w:val="22"/>
        </w:rPr>
        <w:t xml:space="preserve">The benefit: if the heatmap chart needs a fix, you open heatmap.py. You do not search through 800 lines of a combined charts file trying to find the heatmap section. Each file is 60-100 lines and completely readable in 5 minutes.</w:t>
      </w:r>
    </w:p>
    <w:p>
      <w:pPr>
        <w:pStyle w:val="Heading2"/>
        <w:spacing w:after="160" w:before="320"/>
      </w:pPr>
      <w:r>
        <w:rPr>
          <w:rFonts w:ascii="Arial" w:cs="Arial" w:eastAsia="Arial" w:hAnsi="Arial"/>
          <w:b/>
          <w:bCs/>
          <w:color w:val="2E75B6"/>
          <w:sz w:val="28"/>
          <w:szCs w:val="28"/>
        </w:rPr>
        <w:t xml:space="preserve">6.6 The Singleton Pattern</w:t>
      </w:r>
    </w:p>
    <w:p>
      <w:pPr>
        <w:spacing w:after="160"/>
        <w:jc w:val="both"/>
      </w:pPr>
      <w:r>
        <w:rPr>
          <w:rFonts w:ascii="Arial" w:cs="Arial" w:eastAsia="Arial" w:hAnsi="Arial"/>
          <w:sz w:val="22"/>
          <w:szCs w:val="22"/>
        </w:rPr>
        <w:t xml:space="preserve">Almost every class in this project uses the singleton pattern: a module-level variable and a get_X() function that creates the object on first call and returns the same object on subsequent calls:</w:t>
      </w:r>
    </w:p>
    <w:p>
      <w:pPr>
        <w:shd w:fill="EEF4FF" w:val="clear"/>
        <w:spacing w:after="60"/>
        <w:ind w:left="720"/>
      </w:pPr>
      <w:r>
        <w:rPr>
          <w:rFonts w:ascii="Courier New" w:cs="Courier New" w:eastAsia="Courier New" w:hAnsi="Courier New"/>
          <w:color w:val="1F4E79"/>
          <w:sz w:val="18"/>
          <w:szCs w:val="18"/>
        </w:rPr>
        <w:t xml:space="preserve">_instance = None</w:t>
      </w:r>
    </w:p>
    <w:p>
      <w:pPr>
        <w:shd w:fill="EEF4FF" w:val="clear"/>
        <w:spacing w:after="60"/>
        <w:ind w:left="720"/>
      </w:pPr>
      <w:r>
        <w:rPr>
          <w:rFonts w:ascii="Courier New" w:cs="Courier New" w:eastAsia="Courier New" w:hAnsi="Courier New"/>
          <w:color w:val="1F4E79"/>
          <w:sz w:val="18"/>
          <w:szCs w:val="18"/>
        </w:rPr>
        <w:t xml:space="preserve">def get_analyzer():</w:t>
      </w:r>
    </w:p>
    <w:p>
      <w:pPr>
        <w:shd w:fill="EEF4FF" w:val="clear"/>
        <w:spacing w:after="60"/>
        <w:ind w:left="720"/>
      </w:pPr>
      <w:r>
        <w:rPr>
          <w:rFonts w:ascii="Courier New" w:cs="Courier New" w:eastAsia="Courier New" w:hAnsi="Courier New"/>
          <w:color w:val="1F4E79"/>
          <w:sz w:val="18"/>
          <w:szCs w:val="18"/>
        </w:rPr>
        <w:t xml:space="preserve">    global _instance</w:t>
      </w:r>
    </w:p>
    <w:p>
      <w:pPr>
        <w:shd w:fill="EEF4FF" w:val="clear"/>
        <w:spacing w:after="60"/>
        <w:ind w:left="720"/>
      </w:pPr>
      <w:r>
        <w:rPr>
          <w:rFonts w:ascii="Courier New" w:cs="Courier New" w:eastAsia="Courier New" w:hAnsi="Courier New"/>
          <w:color w:val="1F4E79"/>
          <w:sz w:val="18"/>
          <w:szCs w:val="18"/>
        </w:rPr>
        <w:t xml:space="preserve">    if _instance is None:</w:t>
      </w:r>
    </w:p>
    <w:p>
      <w:pPr>
        <w:shd w:fill="EEF4FF" w:val="clear"/>
        <w:spacing w:after="60"/>
        <w:ind w:left="720"/>
      </w:pPr>
      <w:r>
        <w:rPr>
          <w:rFonts w:ascii="Courier New" w:cs="Courier New" w:eastAsia="Courier New" w:hAnsi="Courier New"/>
          <w:color w:val="1F4E79"/>
          <w:sz w:val="18"/>
          <w:szCs w:val="18"/>
        </w:rPr>
        <w:t xml:space="preserve">        _instance = Analyzer()</w:t>
      </w:r>
    </w:p>
    <w:p>
      <w:pPr>
        <w:shd w:fill="EEF4FF" w:val="clear"/>
        <w:spacing w:after="60"/>
        <w:ind w:left="720"/>
      </w:pPr>
      <w:r>
        <w:rPr>
          <w:rFonts w:ascii="Courier New" w:cs="Courier New" w:eastAsia="Courier New" w:hAnsi="Courier New"/>
          <w:color w:val="1F4E79"/>
          <w:sz w:val="18"/>
          <w:szCs w:val="18"/>
        </w:rPr>
        <w:t xml:space="preserve">    return _instance</w:t>
      </w:r>
    </w:p>
    <w:p>
      <w:pPr>
        <w:spacing w:after="160"/>
        <w:jc w:val="both"/>
      </w:pPr>
      <w:r>
        <w:rPr>
          <w:rFonts w:ascii="Arial" w:cs="Arial" w:eastAsia="Arial" w:hAnsi="Arial"/>
          <w:sz w:val="22"/>
          <w:szCs w:val="22"/>
        </w:rPr>
        <w:t xml:space="preserve">Why? Creating these objects involves expensive operations: loading model clients, connecting to ChromaDB, setting up connection pools. We want to do this once at startup, then reuse. The singleton ensures this without passing objects around as function arguments.</w:t>
      </w:r>
    </w:p>
    <w:p>
      <w:pPr>
        <w:pStyle w:val="Heading2"/>
        <w:spacing w:after="160" w:before="320"/>
      </w:pPr>
      <w:r>
        <w:rPr>
          <w:rFonts w:ascii="Arial" w:cs="Arial" w:eastAsia="Arial" w:hAnsi="Arial"/>
          <w:b/>
          <w:bCs/>
          <w:color w:val="2E75B6"/>
          <w:sz w:val="28"/>
          <w:szCs w:val="28"/>
        </w:rPr>
        <w:t xml:space="preserve">6.7 Session State Management — Why It's Centralized</w:t>
      </w:r>
    </w:p>
    <w:p>
      <w:pPr>
        <w:spacing w:after="160"/>
        <w:jc w:val="both"/>
      </w:pPr>
      <w:r>
        <w:rPr>
          <w:rFonts w:ascii="Arial" w:cs="Arial" w:eastAsia="Arial" w:hAnsi="Arial"/>
          <w:sz w:val="22"/>
          <w:szCs w:val="22"/>
        </w:rPr>
        <w:t xml:space="preserve">All st.session_state access goes through SessionManager in core/session.py, using the Keys class for all key names:</w:t>
      </w:r>
    </w:p>
    <w:p>
      <w:pPr>
        <w:shd w:fill="EEF4FF" w:val="clear"/>
        <w:spacing w:after="60"/>
        <w:ind w:left="720"/>
      </w:pPr>
      <w:r>
        <w:rPr>
          <w:rFonts w:ascii="Courier New" w:cs="Courier New" w:eastAsia="Courier New" w:hAnsi="Courier New"/>
          <w:color w:val="1F4E79"/>
          <w:sz w:val="18"/>
          <w:szCs w:val="18"/>
        </w:rPr>
        <w:t xml:space="preserve">Keys.CURRENT_SQL = 'current_sql'</w:t>
      </w:r>
    </w:p>
    <w:p>
      <w:pPr>
        <w:shd w:fill="EEF4FF" w:val="clear"/>
        <w:spacing w:after="60"/>
        <w:ind w:left="720"/>
      </w:pPr>
      <w:r>
        <w:rPr>
          <w:rFonts w:ascii="Courier New" w:cs="Courier New" w:eastAsia="Courier New" w:hAnsi="Courier New"/>
          <w:color w:val="1F4E79"/>
          <w:sz w:val="18"/>
          <w:szCs w:val="18"/>
        </w:rPr>
        <w:t xml:space="preserve">session.set_sql(sql_string)  # instead of st.session_state['current_sql'] = sql_string</w:t>
      </w:r>
    </w:p>
    <w:p>
      <w:pPr>
        <w:spacing w:after="160"/>
        <w:jc w:val="both"/>
      </w:pPr>
      <w:r>
        <w:rPr>
          <w:rFonts w:ascii="Arial" w:cs="Arial" w:eastAsia="Arial" w:hAnsi="Arial"/>
          <w:sz w:val="22"/>
          <w:szCs w:val="22"/>
        </w:rPr>
        <w:t xml:space="preserve">Why? Two reasons:</w:t>
      </w:r>
    </w:p>
    <w:p>
      <w:pPr>
        <w:pStyle w:val="ListParagraph"/>
        <w:numPr>
          <w:ilvl w:val="0"/>
          <w:numId w:val="2"/>
        </w:numPr>
        <w:spacing w:after="100"/>
      </w:pPr>
      <w:r>
        <w:rPr>
          <w:rFonts w:ascii="Arial" w:cs="Arial" w:eastAsia="Arial" w:hAnsi="Arial"/>
          <w:sz w:val="22"/>
          <w:szCs w:val="22"/>
        </w:rPr>
        <w:t xml:space="preserve">Typo prevention: If you misspell 'current_sql' as 'currrent_sql' in one place, you get a silent bug — you write to a different key and read from the original empty one. Using Keys.CURRENT_SQL, a typo causes a Python AttributeError which fails loudly.</w:t>
      </w:r>
    </w:p>
    <w:p>
      <w:pPr>
        <w:pStyle w:val="ListParagraph"/>
        <w:numPr>
          <w:ilvl w:val="0"/>
          <w:numId w:val="2"/>
        </w:numPr>
        <w:spacing w:after="100"/>
      </w:pPr>
      <w:r>
        <w:rPr>
          <w:rFonts w:ascii="Arial" w:cs="Arial" w:eastAsia="Arial" w:hAnsi="Arial"/>
          <w:sz w:val="22"/>
          <w:szCs w:val="22"/>
        </w:rPr>
        <w:t xml:space="preserve">Single source of truth: Every session key and its purpose is documented in one place. No hunting through 20 files to find what 'pending_slicers' contains.</w:t>
      </w:r>
    </w:p>
    <w:p>
      <w:r>
        <w:br w:type="pag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0060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2026-04-29T07:13:22.655Z</dcterms:created>
  <dcterms:modified xsi:type="dcterms:W3CDTF">2026-04-29T07:13:22.655Z</dcterms:modified>
</cp:coreProperties>
</file>

<file path=docProps/custom.xml><?xml version="1.0" encoding="utf-8"?>
<Properties xmlns="http://schemas.openxmlformats.org/officeDocument/2006/custom-properties" xmlns:vt="http://schemas.openxmlformats.org/officeDocument/2006/docPropsVTypes"/>
</file>