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7 — Logging and Benchmarking: How We Monitor the System</w:t>
      </w:r>
    </w:p>
    <w:p>
      <w:pPr>
        <w:spacing w:after="160"/>
        <w:jc w:val="both"/>
      </w:pPr>
      <w:r>
        <w:rPr>
          <w:rFonts w:ascii="Arial" w:cs="Arial" w:eastAsia="Arial" w:hAnsi="Arial"/>
          <w:sz w:val="22"/>
          <w:szCs w:val="22"/>
        </w:rPr>
        <w:t xml:space="preserve">This project generates structured logs for every operation. Understanding what each log file contains and how to read it is essential for debugging, performance analysis, and demonstrating the system's internals.</w:t>
      </w:r>
    </w:p>
    <w:p>
      <w:pPr>
        <w:pStyle w:val="Heading2"/>
        <w:spacing w:after="160" w:before="320"/>
      </w:pPr>
      <w:r>
        <w:rPr>
          <w:rFonts w:ascii="Arial" w:cs="Arial" w:eastAsia="Arial" w:hAnsi="Arial"/>
          <w:b/>
          <w:bCs/>
          <w:color w:val="2E75B6"/>
          <w:sz w:val="28"/>
          <w:szCs w:val="28"/>
        </w:rPr>
        <w:t xml:space="preserve">7.1 Why Loguru Instead of Python's Built-in logging</w:t>
      </w:r>
    </w:p>
    <w:p>
      <w:pPr>
        <w:spacing w:after="160"/>
        <w:jc w:val="both"/>
      </w:pPr>
      <w:r>
        <w:rPr>
          <w:rFonts w:ascii="Arial" w:cs="Arial" w:eastAsia="Arial" w:hAnsi="Arial"/>
          <w:sz w:val="22"/>
          <w:szCs w:val="22"/>
        </w:rPr>
        <w:t xml:space="preserve">Python has a built-in logging module. We use loguru instead because:</w:t>
      </w:r>
    </w:p>
    <w:p>
      <w:pPr>
        <w:pStyle w:val="ListParagraph"/>
        <w:numPr>
          <w:ilvl w:val="0"/>
          <w:numId w:val="2"/>
        </w:numPr>
        <w:spacing w:after="100"/>
      </w:pPr>
      <w:r>
        <w:rPr>
          <w:rFonts w:ascii="Arial" w:cs="Arial" w:eastAsia="Arial" w:hAnsi="Arial"/>
          <w:sz w:val="22"/>
          <w:szCs w:val="22"/>
        </w:rPr>
        <w:t xml:space="preserve">Zero configuration: one import, immediately writes formatted logs with timestamps and line numbers</w:t>
      </w:r>
    </w:p>
    <w:p>
      <w:pPr>
        <w:pStyle w:val="ListParagraph"/>
        <w:numPr>
          <w:ilvl w:val="0"/>
          <w:numId w:val="2"/>
        </w:numPr>
        <w:spacing w:after="100"/>
      </w:pPr>
      <w:r>
        <w:rPr>
          <w:rFonts w:ascii="Arial" w:cs="Arial" w:eastAsia="Arial" w:hAnsi="Arial"/>
          <w:sz w:val="22"/>
          <w:szCs w:val="22"/>
        </w:rPr>
        <w:t xml:space="preserve">Automatic file rotation: log files are capped at 10MB and keep last 5 files automatically</w:t>
      </w:r>
    </w:p>
    <w:p>
      <w:pPr>
        <w:pStyle w:val="ListParagraph"/>
        <w:numPr>
          <w:ilvl w:val="0"/>
          <w:numId w:val="2"/>
        </w:numPr>
        <w:spacing w:after="100"/>
      </w:pPr>
      <w:r>
        <w:rPr>
          <w:rFonts w:ascii="Arial" w:cs="Arial" w:eastAsia="Arial" w:hAnsi="Arial"/>
          <w:sz w:val="22"/>
          <w:szCs w:val="22"/>
        </w:rPr>
        <w:t xml:space="preserve">Colored console output: different log levels appear in different colors, making development easier</w:t>
      </w:r>
    </w:p>
    <w:p>
      <w:pPr>
        <w:pStyle w:val="ListParagraph"/>
        <w:numPr>
          <w:ilvl w:val="0"/>
          <w:numId w:val="2"/>
        </w:numPr>
        <w:spacing w:after="100"/>
      </w:pPr>
      <w:r>
        <w:rPr>
          <w:rFonts w:ascii="Arial" w:cs="Arial" w:eastAsia="Arial" w:hAnsi="Arial"/>
          <w:sz w:val="22"/>
          <w:szCs w:val="22"/>
        </w:rPr>
        <w:t xml:space="preserve">Log binding: a logger can be 'bound' to a specific context — all messages from that logger include metadata</w:t>
      </w:r>
    </w:p>
    <w:p>
      <w:pPr>
        <w:spacing w:after="160"/>
        <w:jc w:val="both"/>
      </w:pPr>
      <w:r>
        <w:rPr>
          <w:rFonts w:ascii="Arial" w:cs="Arial" w:eastAsia="Arial" w:hAnsi="Arial"/>
          <w:sz w:val="22"/>
          <w:szCs w:val="22"/>
        </w:rPr>
        <w:t xml:space="preserve">The built-in logging module requires 15+ lines of setup code to achieve what loguru does in 5.</w:t>
      </w:r>
    </w:p>
    <w:p>
      <w:pPr>
        <w:pStyle w:val="Heading2"/>
        <w:spacing w:after="160" w:before="320"/>
      </w:pPr>
      <w:r>
        <w:rPr>
          <w:rFonts w:ascii="Arial" w:cs="Arial" w:eastAsia="Arial" w:hAnsi="Arial"/>
          <w:b/>
          <w:bCs/>
          <w:color w:val="2E75B6"/>
          <w:sz w:val="28"/>
          <w:szCs w:val="28"/>
        </w:rPr>
        <w:t xml:space="preserve">7.2 The Five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Contents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Used For</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app.log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App startup, session creation, pipeline phase transitions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General debugging, user activity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model.log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Every AI call: model name, prompt token count, latency, response preview</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AI performance analysis, prompt debugging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db.log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Every SQL query: preview, rows returned, execution time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Database performance, SQL debugging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charts.log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 type, columns used, render time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 selection debugging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benchmark.log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Step-by-step timing table for every user query</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Performance optimization, demo timing</w:t>
            </w:r>
          </w:p>
        </w:tc>
      </w:tr>
    </w:tbl>
    <w:p>
      <w:pPr>
        <w:pStyle w:val="Heading2"/>
        <w:spacing w:after="160" w:before="320"/>
      </w:pPr>
      <w:r>
        <w:rPr>
          <w:rFonts w:ascii="Arial" w:cs="Arial" w:eastAsia="Arial" w:hAnsi="Arial"/>
          <w:b/>
          <w:bCs/>
          <w:color w:val="2E75B6"/>
          <w:sz w:val="28"/>
          <w:szCs w:val="28"/>
        </w:rPr>
        <w:t xml:space="preserve">7.3 Reading the Benchmark Log</w:t>
      </w:r>
    </w:p>
    <w:p>
      <w:pPr>
        <w:spacing w:after="160"/>
        <w:jc w:val="both"/>
      </w:pPr>
      <w:r>
        <w:rPr>
          <w:rFonts w:ascii="Arial" w:cs="Arial" w:eastAsia="Arial" w:hAnsi="Arial"/>
          <w:sz w:val="22"/>
          <w:szCs w:val="22"/>
        </w:rPr>
        <w:t xml:space="preserve">The most useful log for demos is benchmark.log. After each complete query, it writes a formatted timing table:</w:t>
      </w:r>
    </w:p>
    <w:p>
      <w:pPr>
        <w:shd w:fill="EEF4FF" w:val="clear"/>
        <w:spacing w:after="60"/>
        <w:ind w:left="720"/>
      </w:pPr>
      <w:r>
        <w:rPr>
          <w:rFonts w:ascii="Courier New" w:cs="Courier New" w:eastAsia="Courier New" w:hAnsi="Courier New"/>
          <w:color w:val="1F4E79"/>
          <w:sz w:val="18"/>
          <w:szCs w:val="18"/>
        </w:rPr>
        <w:t xml:space="preserve">════════════════════════════════════════════════════</w:t>
      </w:r>
    </w:p>
    <w:p>
      <w:pPr>
        <w:shd w:fill="EEF4FF" w:val="clear"/>
        <w:spacing w:after="60"/>
        <w:ind w:left="720"/>
      </w:pPr>
      <w:r>
        <w:rPr>
          <w:rFonts w:ascii="Courier New" w:cs="Courier New" w:eastAsia="Courier New" w:hAnsi="Courier New"/>
          <w:color w:val="1F4E79"/>
          <w:sz w:val="18"/>
          <w:szCs w:val="18"/>
        </w:rPr>
        <w:t xml:space="preserve">QUERY : "Show bounce rate by branch"</w:t>
      </w:r>
    </w:p>
    <w:p>
      <w:pPr>
        <w:shd w:fill="EEF4FF" w:val="clear"/>
        <w:spacing w:after="60"/>
        <w:ind w:left="720"/>
      </w:pPr>
      <w:r>
        <w:rPr>
          <w:rFonts w:ascii="Courier New" w:cs="Courier New" w:eastAsia="Courier New" w:hAnsi="Courier New"/>
          <w:color w:val="1F4E79"/>
          <w:sz w:val="18"/>
          <w:szCs w:val="18"/>
        </w:rPr>
        <w:t xml:space="preserve">  ├── intent_analysis             : 548815ms  ✓</w:t>
      </w:r>
    </w:p>
    <w:p>
      <w:pPr>
        <w:shd w:fill="EEF4FF" w:val="clear"/>
        <w:spacing w:after="60"/>
        <w:ind w:left="720"/>
      </w:pPr>
      <w:r>
        <w:rPr>
          <w:rFonts w:ascii="Courier New" w:cs="Courier New" w:eastAsia="Courier New" w:hAnsi="Courier New"/>
          <w:color w:val="1F4E79"/>
          <w:sz w:val="18"/>
          <w:szCs w:val="18"/>
        </w:rPr>
        <w:t xml:space="preserve">  ├── clarifying_questions        : 287776ms  ✓</w:t>
      </w:r>
    </w:p>
    <w:p>
      <w:pPr>
        <w:shd w:fill="EEF4FF" w:val="clear"/>
        <w:spacing w:after="60"/>
        <w:ind w:left="720"/>
      </w:pPr>
      <w:r>
        <w:rPr>
          <w:rFonts w:ascii="Courier New" w:cs="Courier New" w:eastAsia="Courier New" w:hAnsi="Courier New"/>
          <w:color w:val="1F4E79"/>
          <w:sz w:val="18"/>
          <w:szCs w:val="18"/>
        </w:rPr>
        <w:t xml:space="preserve">  ├── sql_generation              : 345185ms  ✓</w:t>
      </w:r>
    </w:p>
    <w:p>
      <w:pPr>
        <w:shd w:fill="EEF4FF" w:val="clear"/>
        <w:spacing w:after="60"/>
        <w:ind w:left="720"/>
      </w:pPr>
      <w:r>
        <w:rPr>
          <w:rFonts w:ascii="Courier New" w:cs="Courier New" w:eastAsia="Courier New" w:hAnsi="Courier New"/>
          <w:color w:val="1F4E79"/>
          <w:sz w:val="18"/>
          <w:szCs w:val="18"/>
        </w:rPr>
        <w:t xml:space="preserve">  ├── db_fetch                    :     36ms  ✓</w:t>
      </w:r>
    </w:p>
    <w:p>
      <w:pPr>
        <w:shd w:fill="EEF4FF" w:val="clear"/>
        <w:spacing w:after="60"/>
        <w:ind w:left="720"/>
      </w:pPr>
      <w:r>
        <w:rPr>
          <w:rFonts w:ascii="Courier New" w:cs="Courier New" w:eastAsia="Courier New" w:hAnsi="Courier New"/>
          <w:color w:val="1F4E79"/>
          <w:sz w:val="18"/>
          <w:szCs w:val="18"/>
        </w:rPr>
        <w:t xml:space="preserve">  ├── chart_decision              :  58907ms  ✓</w:t>
      </w:r>
    </w:p>
    <w:p>
      <w:pPr>
        <w:shd w:fill="EEF4FF" w:val="clear"/>
        <w:spacing w:after="60"/>
        <w:ind w:left="720"/>
      </w:pPr>
      <w:r>
        <w:rPr>
          <w:rFonts w:ascii="Courier New" w:cs="Courier New" w:eastAsia="Courier New" w:hAnsi="Courier New"/>
          <w:color w:val="1F4E79"/>
          <w:sz w:val="18"/>
          <w:szCs w:val="18"/>
        </w:rPr>
        <w:t xml:space="preserve">  └── chart_render               :    312ms  ✓</w:t>
      </w:r>
    </w:p>
    <w:p>
      <w:pPr>
        <w:shd w:fill="EEF4FF" w:val="clear"/>
        <w:spacing w:after="60"/>
        <w:ind w:left="720"/>
      </w:pPr>
      <w:r>
        <w:rPr>
          <w:rFonts w:ascii="Courier New" w:cs="Courier New" w:eastAsia="Courier New" w:hAnsi="Courier New"/>
          <w:color w:val="1F4E79"/>
          <w:sz w:val="18"/>
          <w:szCs w:val="18"/>
        </w:rPr>
        <w:t xml:space="preserve">════════════════════════════════════════════════════</w:t>
      </w:r>
    </w:p>
    <w:p>
      <w:pPr>
        <w:shd w:fill="EEF4FF" w:val="clear"/>
        <w:spacing w:after="60"/>
        <w:ind w:left="720"/>
      </w:pPr>
      <w:r>
        <w:rPr>
          <w:rFonts w:ascii="Courier New" w:cs="Courier New" w:eastAsia="Courier New" w:hAnsi="Courier New"/>
          <w:color w:val="1F4E79"/>
          <w:sz w:val="18"/>
          <w:szCs w:val="18"/>
        </w:rPr>
        <w:t xml:space="preserve">  TOTAL                         : 1241031ms</w:t>
      </w:r>
    </w:p>
    <w:p>
      <w:pPr>
        <w:shd w:fill="EEF4FF" w:val="clear"/>
        <w:spacing w:after="60"/>
        <w:ind w:left="720"/>
      </w:pPr>
      <w:r>
        <w:rPr>
          <w:rFonts w:ascii="Courier New" w:cs="Courier New" w:eastAsia="Courier New" w:hAnsi="Courier New"/>
          <w:color w:val="1F4E79"/>
          <w:sz w:val="18"/>
          <w:szCs w:val="18"/>
        </w:rPr>
        <w:t xml:space="preserve">════════════════════════════════════════════════════</w:t>
      </w:r>
    </w:p>
    <w:p>
      <w:pPr>
        <w:spacing w:after="160"/>
        <w:jc w:val="both"/>
      </w:pPr>
      <w:r>
        <w:rPr>
          <w:rFonts w:ascii="Arial" w:cs="Arial" w:eastAsia="Arial" w:hAnsi="Arial"/>
          <w:sz w:val="22"/>
          <w:szCs w:val="22"/>
        </w:rPr>
        <w:t xml:space="preserve">From this you can immediately see: the AI model calls (intent, clarifying, SQL, chart decision) account for almost all the time. The actual database query took only 36ms. Chart rendering took 312ms. The bottleneck is AI inference speed, not the database.</w:t>
      </w:r>
    </w:p>
    <w:p>
      <w:pPr>
        <w:pStyle w:val="Heading2"/>
        <w:spacing w:after="160" w:before="320"/>
      </w:pPr>
      <w:r>
        <w:rPr>
          <w:rFonts w:ascii="Arial" w:cs="Arial" w:eastAsia="Arial" w:hAnsi="Arial"/>
          <w:b/>
          <w:bCs/>
          <w:color w:val="2E75B6"/>
          <w:sz w:val="28"/>
          <w:szCs w:val="28"/>
        </w:rPr>
        <w:t xml:space="preserve">7.4 The QueryBenchmark Class</w:t>
      </w:r>
    </w:p>
    <w:p>
      <w:pPr>
        <w:spacing w:after="160"/>
        <w:jc w:val="both"/>
      </w:pPr>
      <w:r>
        <w:rPr>
          <w:rFonts w:ascii="Arial" w:cs="Arial" w:eastAsia="Arial" w:hAnsi="Arial"/>
          <w:sz w:val="22"/>
          <w:szCs w:val="22"/>
        </w:rPr>
        <w:t xml:space="preserve">QueryBenchmark in utils/benchmark.py tracks timing across multiple pipeline steps for a single query. It is used like this:</w:t>
      </w:r>
    </w:p>
    <w:p>
      <w:pPr>
        <w:shd w:fill="EEF4FF" w:val="clear"/>
        <w:spacing w:after="60"/>
        <w:ind w:left="720"/>
      </w:pPr>
      <w:r>
        <w:rPr>
          <w:rFonts w:ascii="Courier New" w:cs="Courier New" w:eastAsia="Courier New" w:hAnsi="Courier New"/>
          <w:color w:val="1F4E79"/>
          <w:sz w:val="18"/>
          <w:szCs w:val="18"/>
        </w:rPr>
        <w:t xml:space="preserve">qb = QueryBenchmark('Show bounce rate by branch')</w:t>
      </w:r>
    </w:p>
    <w:p>
      <w:pPr>
        <w:shd w:fill="EEF4FF" w:val="clear"/>
        <w:spacing w:after="60"/>
        <w:ind w:left="720"/>
      </w:pPr>
      <w:r>
        <w:rPr>
          <w:rFonts w:ascii="Courier New" w:cs="Courier New" w:eastAsia="Courier New" w:hAnsi="Courier New"/>
          <w:color w:val="1F4E79"/>
          <w:sz w:val="18"/>
          <w:szCs w:val="18"/>
        </w:rPr>
        <w:t xml:space="preserve">qb.start('intent_analysis')</w:t>
      </w:r>
    </w:p>
    <w:p>
      <w:pPr>
        <w:shd w:fill="EEF4FF" w:val="clear"/>
        <w:spacing w:after="60"/>
        <w:ind w:left="720"/>
      </w:pPr>
      <w:r>
        <w:rPr>
          <w:rFonts w:ascii="Courier New" w:cs="Courier New" w:eastAsia="Courier New" w:hAnsi="Courier New"/>
          <w:color w:val="1F4E79"/>
          <w:sz w:val="18"/>
          <w:szCs w:val="18"/>
        </w:rPr>
        <w:t xml:space="preserve"># ... run intent analysis ...</w:t>
      </w:r>
    </w:p>
    <w:p>
      <w:pPr>
        <w:shd w:fill="EEF4FF" w:val="clear"/>
        <w:spacing w:after="60"/>
        <w:ind w:left="720"/>
      </w:pPr>
      <w:r>
        <w:rPr>
          <w:rFonts w:ascii="Courier New" w:cs="Courier New" w:eastAsia="Courier New" w:hAnsi="Courier New"/>
          <w:color w:val="1F4E79"/>
          <w:sz w:val="18"/>
          <w:szCs w:val="18"/>
        </w:rPr>
        <w:t xml:space="preserve">qb.end('intent_analysis')</w:t>
      </w:r>
    </w:p>
    <w:p>
      <w:pPr>
        <w:shd w:fill="EEF4FF" w:val="clear"/>
        <w:spacing w:after="60"/>
        <w:ind w:left="720"/>
      </w:pPr>
      <w:r>
        <w:rPr>
          <w:rFonts w:ascii="Courier New" w:cs="Courier New" w:eastAsia="Courier New" w:hAnsi="Courier New"/>
          <w:color w:val="1F4E79"/>
          <w:sz w:val="18"/>
          <w:szCs w:val="18"/>
        </w:rPr>
        <w:t xml:space="preserve">qb.start('sql_generation')</w:t>
      </w:r>
    </w:p>
    <w:p>
      <w:pPr>
        <w:shd w:fill="EEF4FF" w:val="clear"/>
        <w:spacing w:after="60"/>
        <w:ind w:left="720"/>
      </w:pPr>
      <w:r>
        <w:rPr>
          <w:rFonts w:ascii="Courier New" w:cs="Courier New" w:eastAsia="Courier New" w:hAnsi="Courier New"/>
          <w:color w:val="1F4E79"/>
          <w:sz w:val="18"/>
          <w:szCs w:val="18"/>
        </w:rPr>
        <w:t xml:space="preserve"># ... generate SQL ...</w:t>
      </w:r>
    </w:p>
    <w:p>
      <w:pPr>
        <w:shd w:fill="EEF4FF" w:val="clear"/>
        <w:spacing w:after="60"/>
        <w:ind w:left="720"/>
      </w:pPr>
      <w:r>
        <w:rPr>
          <w:rFonts w:ascii="Courier New" w:cs="Courier New" w:eastAsia="Courier New" w:hAnsi="Courier New"/>
          <w:color w:val="1F4E79"/>
          <w:sz w:val="18"/>
          <w:szCs w:val="18"/>
        </w:rPr>
        <w:t xml:space="preserve">qb.end('sql_generation')</w:t>
      </w:r>
    </w:p>
    <w:p>
      <w:pPr>
        <w:shd w:fill="EEF4FF" w:val="clear"/>
        <w:spacing w:after="60"/>
        <w:ind w:left="720"/>
      </w:pPr>
      <w:r>
        <w:rPr>
          <w:rFonts w:ascii="Courier New" w:cs="Courier New" w:eastAsia="Courier New" w:hAnsi="Courier New"/>
          <w:color w:val="1F4E79"/>
          <w:sz w:val="18"/>
          <w:szCs w:val="18"/>
        </w:rPr>
        <w:t xml:space="preserve">qb.report()  # writes the table to benchmark.log</w:t>
      </w:r>
    </w:p>
    <w:p>
      <w:pPr>
        <w:spacing w:after="160"/>
        <w:jc w:val="both"/>
      </w:pPr>
      <w:r>
        <w:rPr>
          <w:rFonts w:ascii="Arial" w:cs="Arial" w:eastAsia="Arial" w:hAnsi="Arial"/>
          <w:sz w:val="22"/>
          <w:szCs w:val="22"/>
        </w:rPr>
        <w:t xml:space="preserve">The report() method is also called to_dict() for the debug panel in the UI — when 'Show Timings' is checked, the user sees the step timings as metric cards.</w:t>
      </w:r>
    </w:p>
    <w:p>
      <w:pPr>
        <w:pStyle w:val="Heading2"/>
        <w:spacing w:after="160" w:before="320"/>
      </w:pPr>
      <w:r>
        <w:rPr>
          <w:rFonts w:ascii="Arial" w:cs="Arial" w:eastAsia="Arial" w:hAnsi="Arial"/>
          <w:b/>
          <w:bCs/>
          <w:color w:val="2E75B6"/>
          <w:sz w:val="28"/>
          <w:szCs w:val="28"/>
        </w:rPr>
        <w:t xml:space="preserve">7.5 The benchmark() Context Manager</w:t>
      </w:r>
    </w:p>
    <w:p>
      <w:pPr>
        <w:spacing w:after="160"/>
        <w:jc w:val="both"/>
      </w:pPr>
      <w:r>
        <w:rPr>
          <w:rFonts w:ascii="Arial" w:cs="Arial" w:eastAsia="Arial" w:hAnsi="Arial"/>
          <w:sz w:val="22"/>
          <w:szCs w:val="22"/>
        </w:rPr>
        <w:t xml:space="preserve">For individual operations inside a single step, the benchmark() context manager measures a block of code:</w:t>
      </w:r>
    </w:p>
    <w:p>
      <w:pPr>
        <w:shd w:fill="EEF4FF" w:val="clear"/>
        <w:spacing w:after="60"/>
        <w:ind w:left="720"/>
      </w:pPr>
      <w:r>
        <w:rPr>
          <w:rFonts w:ascii="Courier New" w:cs="Courier New" w:eastAsia="Courier New" w:hAnsi="Courier New"/>
          <w:color w:val="1F4E79"/>
          <w:sz w:val="18"/>
          <w:szCs w:val="18"/>
        </w:rPr>
        <w:t xml:space="preserve">with benchmark('db_execute'):</w:t>
      </w:r>
    </w:p>
    <w:p>
      <w:pPr>
        <w:shd w:fill="EEF4FF" w:val="clear"/>
        <w:spacing w:after="60"/>
        <w:ind w:left="720"/>
      </w:pPr>
      <w:r>
        <w:rPr>
          <w:rFonts w:ascii="Courier New" w:cs="Courier New" w:eastAsia="Courier New" w:hAnsi="Courier New"/>
          <w:color w:val="1F4E79"/>
          <w:sz w:val="18"/>
          <w:szCs w:val="18"/>
        </w:rPr>
        <w:t xml:space="preserve">    result = pd.read_sql(sql, conn)</w:t>
      </w:r>
    </w:p>
    <w:p>
      <w:pPr>
        <w:spacing w:after="160"/>
        <w:jc w:val="both"/>
      </w:pPr>
      <w:r>
        <w:rPr>
          <w:rFonts w:ascii="Arial" w:cs="Arial" w:eastAsia="Arial" w:hAnsi="Arial"/>
          <w:sz w:val="22"/>
          <w:szCs w:val="22"/>
        </w:rPr>
        <w:t xml:space="preserve">This writes [START] and [END] entries to benchmark.log with the duration. Every database call, ChromaDB search, and chart render is wrapped in this so we have granular timing data.</w:t>
      </w:r>
    </w:p>
    <w:p>
      <w:pPr>
        <w:pStyle w:val="Heading2"/>
        <w:spacing w:after="160" w:before="320"/>
      </w:pPr>
      <w:r>
        <w:rPr>
          <w:rFonts w:ascii="Arial" w:cs="Arial" w:eastAsia="Arial" w:hAnsi="Arial"/>
          <w:b/>
          <w:bCs/>
          <w:color w:val="2E75B6"/>
          <w:sz w:val="28"/>
          <w:szCs w:val="28"/>
        </w:rPr>
        <w:t xml:space="preserve">7.6 How to Debug Using the Logs</w:t>
      </w:r>
    </w:p>
    <w:p>
      <w:pPr>
        <w:spacing w:after="160"/>
        <w:jc w:val="both"/>
      </w:pPr>
      <w:r>
        <w:rPr>
          <w:rFonts w:ascii="Arial" w:cs="Arial" w:eastAsia="Arial" w:hAnsi="Arial"/>
          <w:sz w:val="22"/>
          <w:szCs w:val="22"/>
        </w:rPr>
        <w:t xml:space="preserve">When something goes wrong, read the logs in this order:</w:t>
      </w:r>
    </w:p>
    <w:p>
      <w:pPr>
        <w:pStyle w:val="ListParagraph"/>
        <w:numPr>
          <w:ilvl w:val="0"/>
          <w:numId w:val="2"/>
        </w:numPr>
        <w:spacing w:after="100"/>
      </w:pPr>
      <w:r>
        <w:rPr>
          <w:rFonts w:ascii="Arial" w:cs="Arial" w:eastAsia="Arial" w:hAnsi="Arial"/>
          <w:sz w:val="22"/>
          <w:szCs w:val="22"/>
        </w:rPr>
        <w:t xml:space="preserve">app.log: Find the session ID and see what phase the pipeline reached</w:t>
      </w:r>
    </w:p>
    <w:p>
      <w:pPr>
        <w:pStyle w:val="ListParagraph"/>
        <w:numPr>
          <w:ilvl w:val="0"/>
          <w:numId w:val="2"/>
        </w:numPr>
        <w:spacing w:after="100"/>
      </w:pPr>
      <w:r>
        <w:rPr>
          <w:rFonts w:ascii="Arial" w:cs="Arial" w:eastAsia="Arial" w:hAnsi="Arial"/>
          <w:sz w:val="22"/>
          <w:szCs w:val="22"/>
        </w:rPr>
        <w:t xml:space="preserve">model.log: Find the model call that failed. Look for TIMEOUT, HTTP ERROR, or JSON parse failed</w:t>
      </w:r>
    </w:p>
    <w:p>
      <w:pPr>
        <w:pStyle w:val="ListParagraph"/>
        <w:numPr>
          <w:ilvl w:val="0"/>
          <w:numId w:val="2"/>
        </w:numPr>
        <w:spacing w:after="100"/>
      </w:pPr>
      <w:r>
        <w:rPr>
          <w:rFonts w:ascii="Arial" w:cs="Arial" w:eastAsia="Arial" w:hAnsi="Arial"/>
          <w:sz w:val="22"/>
          <w:szCs w:val="22"/>
        </w:rPr>
        <w:t xml:space="preserve">db.log: Find the SQL query that was executed. Look for column name errors in the SQL preview</w:t>
      </w:r>
    </w:p>
    <w:p>
      <w:pPr>
        <w:pStyle w:val="ListParagraph"/>
        <w:numPr>
          <w:ilvl w:val="0"/>
          <w:numId w:val="2"/>
        </w:numPr>
        <w:spacing w:after="100"/>
      </w:pPr>
      <w:r>
        <w:rPr>
          <w:rFonts w:ascii="Arial" w:cs="Arial" w:eastAsia="Arial" w:hAnsi="Arial"/>
          <w:sz w:val="22"/>
          <w:szCs w:val="22"/>
        </w:rPr>
        <w:t xml:space="preserve">benchmark.log: Find the step that took suspiciously long or shows ERROR status</w:t>
      </w:r>
    </w:p>
    <w:p>
      <w:pPr>
        <w:spacing w:after="160"/>
        <w:jc w:val="both"/>
      </w:pPr>
      <w:r>
        <w:rPr>
          <w:rFonts w:ascii="Arial" w:cs="Arial" w:eastAsia="Arial" w:hAnsi="Arial"/>
          <w:sz w:val="22"/>
          <w:szCs w:val="22"/>
        </w:rPr>
        <w:t xml:space="preserve">The logs are structured so you can grep for specific patterns:</w:t>
      </w:r>
    </w:p>
    <w:p>
      <w:pPr>
        <w:shd w:fill="EEF4FF" w:val="clear"/>
        <w:spacing w:after="60"/>
        <w:ind w:left="720"/>
      </w:pPr>
      <w:r>
        <w:rPr>
          <w:rFonts w:ascii="Courier New" w:cs="Courier New" w:eastAsia="Courier New" w:hAnsi="Courier New"/>
          <w:color w:val="1F4E79"/>
          <w:sz w:val="18"/>
          <w:szCs w:val="18"/>
        </w:rPr>
        <w:t xml:space="preserve">grep 'FAILED' D:\Loan_Dashboard\Logs\model.log</w:t>
      </w:r>
    </w:p>
    <w:p>
      <w:pPr>
        <w:shd w:fill="EEF4FF" w:val="clear"/>
        <w:spacing w:after="60"/>
        <w:ind w:left="720"/>
      </w:pPr>
      <w:r>
        <w:rPr>
          <w:rFonts w:ascii="Courier New" w:cs="Courier New" w:eastAsia="Courier New" w:hAnsi="Courier New"/>
          <w:color w:val="1F4E79"/>
          <w:sz w:val="18"/>
          <w:szCs w:val="18"/>
        </w:rPr>
        <w:t xml:space="preserve">grep 'intent_analysis' D:\Loan_Dashboard\Logs\benchmark.log</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2026-04-29T07:13:22.674Z</dcterms:created>
  <dcterms:modified xsi:type="dcterms:W3CDTF">2026-04-29T07:13:22.674Z</dcterms:modified>
</cp:coreProperties>
</file>

<file path=docProps/custom.xml><?xml version="1.0" encoding="utf-8"?>
<Properties xmlns="http://schemas.openxmlformats.org/officeDocument/2006/custom-properties" xmlns:vt="http://schemas.openxmlformats.org/officeDocument/2006/docPropsVTypes"/>
</file>