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4XSTRUCT · STRUCTMIND AI</w:t>
      </w:r>
    </w:p>
    <w:p>
      <w:r>
        <w:rPr>
          <w:b/>
          <w:color w:val="0D2240"/>
          <w:sz w:val="56"/>
        </w:rPr>
        <w:t>ESTIMATION PRO — HOURS-BASED QUOTATION ENGINE</w:t>
      </w:r>
    </w:p>
    <w:p>
      <w:r>
        <w:t>Project: Quick Analysis</w:t>
      </w:r>
    </w:p>
    <w:p>
      <w:r>
        <w:t>Generated: 2026-05-26T11:17:02.703630+00:00</w:t>
      </w:r>
    </w:p>
    <w:p>
      <w:r>
        <w:t>Model: STRUCTMIND CORE · PRO</w:t>
      </w:r>
    </w:p>
    <w:p>
      <w:r>
        <w:t>SHA-256 Hash: 17f823df0a1cfa4ddd2871f5395aab47521cb8107edd6035bbf9cf6fdd17db9f</w:t>
      </w:r>
    </w:p>
    <w:p/>
    <w:p>
      <w:r>
        <w:t>---</w:t>
      </w:r>
    </w:p>
    <w:p>
      <w:pPr>
        <w:pStyle w:val="Heading2"/>
      </w:pPr>
      <w:r>
        <w:rPr>
          <w:color w:val="0D2240"/>
        </w:rPr>
        <w:t>CALCULATION MANIFEST — Single Source of Truth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Piece-Count Subtotal Hrs (Low)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0.0 hrs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Piece-Count Subtotal Hrs (High)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0.0 hrs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Confidence Level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Risk Buffer % Applied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Buffer Hrs Added (Low)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+0.0 hrs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Buffer Hrs Added (High)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+0.0 hrs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LOCK_HRS_LOW (Adjusted Total)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0 hrs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LOCK_HRS_HIGH (Adjusted Total)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0 hrs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Internal Rate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[CONFIDENTIAL]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LOCK_COST_LOW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$0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LOCK_COST_HIGH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$0</w:t>
            </w:r>
          </w:p>
        </w:tc>
      </w:tr>
    </w:tbl>
    <w:p/>
    <w:p>
      <w:r>
        <w:t>&gt; All four LOCK values above are fixed for this entire document. &gt; Sections 1 and 7 must copy these values exactly — no re-derivation permitted. ---</w:t>
      </w:r>
    </w:p>
    <w:p>
      <w:pPr>
        <w:pStyle w:val="Heading2"/>
      </w:pPr>
      <w:r>
        <w:rPr>
          <w:color w:val="0D2240"/>
        </w:rPr>
        <w:t>1. EXECUTIVE SUMMARY</w:t>
      </w:r>
    </w:p>
    <w:p>
      <w:pPr>
        <w:pStyle w:val="ListBullet"/>
      </w:pPr>
      <w:r>
        <w:t>Project Name / ID: Project Name Not Provided</w:t>
      </w:r>
    </w:p>
    <w:p>
      <w:pPr>
        <w:pStyle w:val="ListBullet"/>
      </w:pPr>
      <w:r>
        <w:t>Total Estimated Hours: 0 – 0 hrs</w:t>
      </w:r>
    </w:p>
    <w:p>
      <w:pPr>
        <w:pStyle w:val="ListBullet"/>
      </w:pPr>
      <w:r>
        <w:t>Total Estimated Cost (USD): $0 – $0</w:t>
      </w:r>
    </w:p>
    <w:p>
      <w:pPr>
        <w:pStyle w:val="ListBullet"/>
      </w:pPr>
      <w:r>
        <w:t>Confidence Level: Low</w:t>
      </w:r>
    </w:p>
    <w:p>
      <w:pPr>
        <w:pStyle w:val="ListBullet"/>
      </w:pPr>
      <w:r>
        <w:t>No drawings or project documents were provided for review.</w:t>
      </w:r>
    </w:p>
    <w:p>
      <w:pPr>
        <w:pStyle w:val="ListBullet"/>
      </w:pPr>
      <w:r>
        <w:t>All quantities, member sizes, and connection complexities are unknown.</w:t>
      </w:r>
    </w:p>
    <w:p>
      <w:pPr>
        <w:pStyle w:val="ListBullet"/>
      </w:pPr>
      <w:r>
        <w:t>The entire basis of estimate could not be established.</w:t>
      </w:r>
    </w:p>
    <w:p>
      <w:pPr>
        <w:pStyle w:val="ListBullet"/>
      </w:pPr>
      <w:r>
        <w:t>Critical Risks (top 3):</w:t>
      </w:r>
    </w:p>
    <w:p>
      <w:pPr>
        <w:pStyle w:val="ListNumber"/>
      </w:pPr>
      <w:r>
        <w:t>Complete Lack of Scope: The entire project scope is undefined, making any estimate impossible. The potential hour impact is 100% of the future actual project hours.</w:t>
      </w:r>
    </w:p>
    <w:p>
      <w:pPr>
        <w:pStyle w:val="ListNumber"/>
      </w:pPr>
      <w:r>
        <w:t>Missing Drawings: No structural, architectural, or other relevant drawings were provided. All information must be supplied to proceed.</w:t>
      </w:r>
    </w:p>
    <w:p>
      <w:pPr>
        <w:pStyle w:val="ListNumber"/>
      </w:pPr>
      <w:r>
        <w:t>Missing Specifications: No project specifications for materials, connections, finishes, or special requirements were provided.</w:t>
      </w:r>
    </w:p>
    <w:p>
      <w:pPr>
        <w:pStyle w:val="Heading2"/>
      </w:pPr>
      <w:r>
        <w:rPr>
          <w:color w:val="0D2240"/>
        </w:rPr>
        <w:t>2. BASIS OF ESTIMATE</w:t>
      </w:r>
    </w:p>
    <w:p>
      <w:pPr>
        <w:pStyle w:val="ListBullet"/>
      </w:pPr>
      <w:r>
        <w:t>Drawings Reviewed: No drawings were provided. A complete set of Issued for Construction (IFC) or equivalent structural and architectural drawings is required.</w:t>
      </w:r>
    </w:p>
    <w:p>
      <w:pPr>
        <w:pStyle w:val="ListBullet"/>
      </w:pPr>
      <w:r>
        <w:t>Benchmarks Applied: AISC Manual, NISD standards, internal historical data. No benchmarks could be applied as no project scope was defined.</w:t>
      </w:r>
    </w:p>
    <w:p>
      <w:pPr>
        <w:pStyle w:val="ListBullet"/>
      </w:pPr>
      <w:r>
        <w:t>Complexity Factor Basis: Not applicable. No members, connections, or geometry were identified from which to derive complexity.</w:t>
      </w:r>
    </w:p>
    <w:p>
      <w:pPr>
        <w:pStyle w:val="ListBullet"/>
      </w:pPr>
      <w:r>
        <w:t>Global Assumptions: This is a placeholder estimate generated in response to a system test. All values are zero pending receipt of complete project documentation. An RFI for all project documents is implicitly raised.</w:t>
      </w:r>
    </w:p>
    <w:p>
      <w:pPr>
        <w:pStyle w:val="Heading2"/>
      </w:pPr>
      <w:r>
        <w:rPr>
          <w:color w:val="0D2240"/>
        </w:rPr>
        <w:t>3. ITEMIZED PIECE-COUNT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Item Type</w:t>
            </w:r>
          </w:p>
        </w:tc>
        <w:tc>
          <w:tcPr>
            <w:tcW w:type="dxa" w:w="864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Sub-Type</w:t>
            </w:r>
          </w:p>
        </w:tc>
        <w:tc>
          <w:tcPr>
            <w:tcW w:type="dxa" w:w="864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864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Base Hrs/Unit</w:t>
            </w:r>
          </w:p>
        </w:tc>
        <w:tc>
          <w:tcPr>
            <w:tcW w:type="dxa" w:w="864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Complexity Factors</w:t>
            </w:r>
          </w:p>
        </w:tc>
        <w:tc>
          <w:tcPr>
            <w:tcW w:type="dxa" w:w="864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Adj Hrs/Unit</w:t>
            </w:r>
          </w:p>
        </w:tc>
        <w:tc>
          <w:tcPr>
            <w:tcW w:type="dxa" w:w="864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Est Hrs (Low)</w:t>
            </w:r>
          </w:p>
        </w:tc>
        <w:tc>
          <w:tcPr>
            <w:tcW w:type="dxa" w:w="864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Est Hrs (High)</w:t>
            </w:r>
          </w:p>
        </w:tc>
        <w:tc>
          <w:tcPr>
            <w:tcW w:type="dxa" w:w="864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Source Sheet</w:t>
            </w:r>
          </w:p>
        </w:tc>
        <w:tc>
          <w:tcPr>
            <w:tcW w:type="dxa" w:w="864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864"/>
          </w:tcPr>
          <w:p>
            <w:r>
              <w:rPr>
                <w:color w:val="1A2D44"/>
                <w:sz w:val="20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  <w:t>No drawings provided</w:t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  <w:t>N/A (x1.00)</w:t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  <w:t>A complete set of drawings (structural, architectural) and project specifications are required to perform an estimate.</w:t>
            </w:r>
          </w:p>
        </w:tc>
      </w:tr>
      <w:tr>
        <w:tc>
          <w:tcPr>
            <w:tcW w:type="dxa" w:w="864"/>
          </w:tcPr>
          <w:p>
            <w:r>
              <w:rPr>
                <w:color w:val="1A2D44"/>
                <w:sz w:val="20"/>
              </w:rPr>
              <w:t>SUBTOTAL</w:t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</w:r>
          </w:p>
        </w:tc>
        <w:tc>
          <w:tcPr>
            <w:tcW w:type="dxa" w:w="864"/>
          </w:tcPr>
          <w:p>
            <w:r>
              <w:rPr>
                <w:color w:val="1A2D44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0D2240"/>
        </w:rPr>
        <w:t>4. HOURS BY TASK CATEGORY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Task Category</w:t>
            </w:r>
          </w:p>
        </w:tc>
        <w:tc>
          <w:tcPr>
            <w:tcW w:type="dxa" w:w="1728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Est Hrs (Low)</w:t>
            </w:r>
          </w:p>
        </w:tc>
        <w:tc>
          <w:tcPr>
            <w:tcW w:type="dxa" w:w="1728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Est Hrs (High)</w:t>
            </w:r>
          </w:p>
        </w:tc>
        <w:tc>
          <w:tcPr>
            <w:tcW w:type="dxa" w:w="1728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% of Total</w:t>
            </w:r>
          </w:p>
        </w:tc>
        <w:tc>
          <w:tcPr>
            <w:tcW w:type="dxa" w:w="1728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color w:val="1A2D44"/>
                <w:sz w:val="20"/>
              </w:rPr>
              <w:t>Modeling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Placeholder distribution.</w:t>
            </w:r>
          </w:p>
        </w:tc>
      </w:tr>
      <w:tr>
        <w:tc>
          <w:tcPr>
            <w:tcW w:type="dxa" w:w="1728"/>
          </w:tcPr>
          <w:p>
            <w:r>
              <w:rPr>
                <w:color w:val="1A2D44"/>
                <w:sz w:val="20"/>
              </w:rPr>
              <w:t>Shop Drawings / Editing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40%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Placeholder distribution.</w:t>
            </w:r>
          </w:p>
        </w:tc>
      </w:tr>
      <w:tr>
        <w:tc>
          <w:tcPr>
            <w:tcW w:type="dxa" w:w="1728"/>
          </w:tcPr>
          <w:p>
            <w:r>
              <w:rPr>
                <w:color w:val="1A2D44"/>
                <w:sz w:val="20"/>
              </w:rPr>
              <w:t>Checking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Placeholder distribution.</w:t>
            </w:r>
          </w:p>
        </w:tc>
      </w:tr>
      <w:tr>
        <w:tc>
          <w:tcPr>
            <w:tcW w:type="dxa" w:w="1728"/>
          </w:tcPr>
          <w:p>
            <w:r>
              <w:rPr>
                <w:color w:val="1A2D44"/>
                <w:sz w:val="20"/>
              </w:rPr>
              <w:t>Erection Drawings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Placeholder distribution.</w:t>
            </w:r>
          </w:p>
        </w:tc>
      </w:tr>
      <w:tr>
        <w:tc>
          <w:tcPr>
            <w:tcW w:type="dxa" w:w="1728"/>
          </w:tcPr>
          <w:p>
            <w:r>
              <w:rPr>
                <w:color w:val="1A2D44"/>
                <w:sz w:val="20"/>
              </w:rPr>
              <w:t>RFIs / Revisions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Placeholder distribution.</w:t>
            </w:r>
          </w:p>
        </w:tc>
      </w:tr>
      <w:tr>
        <w:tc>
          <w:tcPr>
            <w:tcW w:type="dxa" w:w="1728"/>
          </w:tcPr>
          <w:p>
            <w:r>
              <w:rPr>
                <w:color w:val="1A2D44"/>
                <w:sz w:val="20"/>
              </w:rPr>
              <w:t>PM / Coordination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Placeholder distribution.</w:t>
            </w:r>
          </w:p>
        </w:tc>
      </w:tr>
      <w:tr>
        <w:tc>
          <w:tcPr>
            <w:tcW w:type="dxa" w:w="1728"/>
          </w:tcPr>
          <w:p>
            <w:r>
              <w:rPr>
                <w:color w:val="1A2D44"/>
                <w:sz w:val="20"/>
              </w:rPr>
              <w:t>SUBTOTAL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color w:val="1A2D44"/>
                <w:sz w:val="20"/>
              </w:rPr>
              <w:t>Matches Section 3 Subtotal.</w:t>
            </w:r>
          </w:p>
        </w:tc>
      </w:tr>
    </w:tbl>
    <w:p/>
    <w:p>
      <w:pPr>
        <w:pStyle w:val="Heading2"/>
      </w:pPr>
      <w:r>
        <w:rPr>
          <w:color w:val="0D2240"/>
        </w:rPr>
        <w:t>5. CONFIDENCE ASSESSMENT</w:t>
      </w:r>
    </w:p>
    <w:p>
      <w:r>
        <w:t>Confidence Level: Low</w:t>
      </w:r>
    </w:p>
    <w:p>
      <w:r>
        <w:t>Checklist:   [ ] All member quantities explicitly counted on provided drawings.   [ ] Connection types fully detailed or called out (not assumed throughout).   [ ] Material grades and surface finishes specified for all items.   [ ] Drawings are recent (IFC or equivalent), internally coordinated and consistent.   [ ] No significant missing, conflicting, or illegible information identified.   [ ] All assumptions are reasonable and fully documented.</w:t>
      </w:r>
    </w:p>
    <w:p>
      <w:r>
        <w:t>Criteria met: 0 of 6</w:t>
      </w:r>
    </w:p>
    <w:p>
      <w:r>
        <w:t>Gaps</w:t>
      </w:r>
    </w:p>
    <w:p>
      <w:pPr>
        <w:pStyle w:val="ListBullet"/>
      </w:pPr>
      <w:r>
        <w:t>a) What is missing or assumed: All member quantities are missing.</w:t>
      </w:r>
    </w:p>
    <w:p>
      <w:r>
        <w:t xml:space="preserve">    b) What assumption was made: Assumed quantity of 0 for all items.     c) Estimated hour impact if wrong: 100% of final project hours.</w:t>
      </w:r>
    </w:p>
    <w:p>
      <w:pPr>
        <w:pStyle w:val="ListBullet"/>
      </w:pPr>
      <w:r>
        <w:t>a) What is missing or assumed: All connection types are missing.</w:t>
      </w:r>
    </w:p>
    <w:p>
      <w:r>
        <w:t xml:space="preserve">    b) What assumption was made: Assumed standard complexity of 1.00.     c) Estimated hour impact if wrong: Could range from 20-60% of total hours, depending on final design.</w:t>
      </w:r>
    </w:p>
    <w:p>
      <w:pPr>
        <w:pStyle w:val="ListBullet"/>
      </w:pPr>
      <w:r>
        <w:t>a) What is missing or assumed: All material grades and finishes are missing.</w:t>
      </w:r>
    </w:p>
    <w:p>
      <w:r>
        <w:t xml:space="preserve">    b) What assumption was made: Assumed standard A992 steel with shop primer. No galvanizing buffer applied.     c) Estimated hour impact if wrong: If galvanizing is required, impact is +15% to total hours.</w:t>
      </w:r>
    </w:p>
    <w:p>
      <w:pPr>
        <w:pStyle w:val="ListBullet"/>
      </w:pPr>
      <w:r>
        <w:t>a) What is missing or assumed: The existence and status of all drawings are unknown.</w:t>
      </w:r>
    </w:p>
    <w:p>
      <w:r>
        <w:t xml:space="preserve">    b) What assumption was made: Assumed no drawings exist for this estimate.     c) Estimated hour impact if wrong: N/A. Drawings are required to proceed.</w:t>
      </w:r>
    </w:p>
    <w:p>
      <w:pPr>
        <w:pStyle w:val="ListBullet"/>
      </w:pPr>
      <w:r>
        <w:t>a) What is missing or assumed: All project information is missing.</w:t>
      </w:r>
    </w:p>
    <w:p>
      <w:r>
        <w:t xml:space="preserve">    b) What assumption was made: N/A. Cannot proceed without information.     c) Estimated hour impact if wrong: N/A.</w:t>
      </w:r>
    </w:p>
    <w:p>
      <w:pPr>
        <w:pStyle w:val="ListBullet"/>
      </w:pPr>
      <w:r>
        <w:t>a) What is missing or assumed: All assumptions are placeholders.</w:t>
      </w:r>
    </w:p>
    <w:p>
      <w:r>
        <w:t xml:space="preserve">    b) What assumption was made: That this report serves as a template until documents are provided.     c) Estimated hour impact if wrong: N/A.</w:t>
      </w:r>
    </w:p>
    <w:p>
      <w:pPr>
        <w:pStyle w:val="Heading2"/>
      </w:pPr>
      <w:r>
        <w:rPr>
          <w:color w:val="0D2240"/>
        </w:rPr>
        <w:t>6. RISK BUFFER AND ADJUSTED HOURS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Row</w:t>
            </w:r>
          </w:p>
        </w:tc>
        <w:tc>
          <w:tcPr>
            <w:tcW w:type="dxa" w:w="2880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Low Hrs</w:t>
            </w:r>
          </w:p>
        </w:tc>
        <w:tc>
          <w:tcPr>
            <w:tcW w:type="dxa" w:w="2880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High Hrs</w:t>
            </w:r>
          </w:p>
        </w:tc>
      </w:tr>
      <w:tr>
        <w:tc>
          <w:tcPr>
            <w:tcW w:type="dxa" w:w="2880"/>
          </w:tcPr>
          <w:p>
            <w:r>
              <w:rPr>
                <w:color w:val="1A2D44"/>
                <w:sz w:val="20"/>
              </w:rPr>
              <w:t>Section 3 Subtotal</w:t>
            </w:r>
          </w:p>
        </w:tc>
        <w:tc>
          <w:tcPr>
            <w:tcW w:type="dxa" w:w="2880"/>
          </w:tcPr>
          <w:p>
            <w:r>
              <w:rPr>
                <w:color w:val="1A2D44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color w:val="1A2D44"/>
                <w:sz w:val="20"/>
              </w:rPr>
              <w:t>0.0</w:t>
            </w:r>
          </w:p>
        </w:tc>
      </w:tr>
      <w:tr>
        <w:tc>
          <w:tcPr>
            <w:tcW w:type="dxa" w:w="2880"/>
          </w:tcPr>
          <w:p>
            <w:r>
              <w:rPr>
                <w:color w:val="1A2D44"/>
                <w:sz w:val="20"/>
              </w:rPr>
              <w:t>Risk Buffer (30%)</w:t>
            </w:r>
          </w:p>
        </w:tc>
        <w:tc>
          <w:tcPr>
            <w:tcW w:type="dxa" w:w="2880"/>
          </w:tcPr>
          <w:p>
            <w:r>
              <w:rPr>
                <w:color w:val="1A2D44"/>
                <w:sz w:val="20"/>
              </w:rPr>
              <w:t>+0.0</w:t>
            </w:r>
          </w:p>
        </w:tc>
        <w:tc>
          <w:tcPr>
            <w:tcW w:type="dxa" w:w="2880"/>
          </w:tcPr>
          <w:p>
            <w:r>
              <w:rPr>
                <w:color w:val="1A2D44"/>
                <w:sz w:val="20"/>
              </w:rPr>
              <w:t>+0.0</w:t>
            </w:r>
          </w:p>
        </w:tc>
      </w:tr>
      <w:tr>
        <w:tc>
          <w:tcPr>
            <w:tcW w:type="dxa" w:w="2880"/>
          </w:tcPr>
          <w:p>
            <w:r>
              <w:rPr>
                <w:color w:val="1A2D44"/>
                <w:sz w:val="20"/>
              </w:rPr>
              <w:t>ADJUSTED TOTAL HOURS</w:t>
            </w:r>
          </w:p>
        </w:tc>
        <w:tc>
          <w:tcPr>
            <w:tcW w:type="dxa" w:w="2880"/>
          </w:tcPr>
          <w:p>
            <w:r>
              <w:rPr>
                <w:color w:val="1A2D44"/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color w:val="1A2D44"/>
                <w:sz w:val="20"/>
              </w:rPr>
              <w:t>0</w:t>
            </w:r>
          </w:p>
        </w:tc>
      </w:tr>
    </w:tbl>
    <w:p/>
    <w:p>
      <w:pPr>
        <w:pStyle w:val="Heading2"/>
      </w:pPr>
      <w:r>
        <w:rPr>
          <w:color w:val="0D2240"/>
        </w:rPr>
        <w:t>7. COST CONVERSION (USD)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0D2240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Adjusted Hours (Low)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0 hrs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Adjusted Hours (High)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0 hrs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Blended Hourly Rate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[CONFIDENTIAL]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Project Cost — Low (USD)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$0</w:t>
            </w:r>
          </w:p>
        </w:tc>
      </w:tr>
      <w:tr>
        <w:tc>
          <w:tcPr>
            <w:tcW w:type="dxa" w:w="4320"/>
          </w:tcPr>
          <w:p>
            <w:r>
              <w:rPr>
                <w:color w:val="1A2D44"/>
                <w:sz w:val="20"/>
              </w:rPr>
              <w:t>Project Cost — High (USD)</w:t>
            </w:r>
          </w:p>
        </w:tc>
        <w:tc>
          <w:tcPr>
            <w:tcW w:type="dxa" w:w="4320"/>
          </w:tcPr>
          <w:p>
            <w:r>
              <w:rPr>
                <w:color w:val="1A2D44"/>
                <w:sz w:val="20"/>
              </w:rPr>
              <w:t>$0</w:t>
            </w:r>
          </w:p>
        </w:tc>
      </w:tr>
    </w:tbl>
    <w:p/>
    <w:p>
      <w:r>
        <w:t>&gt; Note: Minimum engagement fee may apply — confirm with project lead.</w:t>
      </w:r>
    </w:p>
    <w:p>
      <w:pPr>
        <w:pStyle w:val="Heading2"/>
      </w:pPr>
      <w:r>
        <w:rPr>
          <w:color w:val="0D2240"/>
        </w:rPr>
        <w:t>8. ASSUMPTIONS AND EXCLUSIONS</w:t>
      </w:r>
    </w:p>
    <w:p>
      <w:r>
        <w:t>Key Assumptions:</w:t>
      </w:r>
    </w:p>
    <w:p>
      <w:pPr>
        <w:pStyle w:val="ListBullet"/>
      </w:pPr>
      <w:r>
        <w:t>Project Documents — Assumed that a full set of structural and architectural drawings and specifications will be provided for a formal estimate, as none were included in the request.</w:t>
      </w:r>
    </w:p>
    <w:p>
      <w:pPr>
        <w:pStyle w:val="ListBullet"/>
      </w:pPr>
      <w:r>
        <w:t>Scope of Work — Assumed the scope is for standard structural and miscellaneous steel detailing, but this must be confirmed.</w:t>
      </w:r>
    </w:p>
    <w:p>
      <w:pPr>
        <w:pStyle w:val="ListBullet"/>
      </w:pPr>
      <w:r>
        <w:t>Connection Design — Assumed that all connections will be fully designed and detailed on the structural drawings (no delegated design).</w:t>
      </w:r>
    </w:p>
    <w:p>
      <w:pPr>
        <w:pStyle w:val="ListBullet"/>
      </w:pPr>
      <w:r>
        <w:t>Schedule — Assumed a standard project schedule. No provision has been made for expedited delivery.</w:t>
      </w:r>
    </w:p>
    <w:p>
      <w:pPr>
        <w:pStyle w:val="ListBullet"/>
      </w:pPr>
      <w:r>
        <w:t>Revisions — Assumed a standard RFI and revision cycle. The current estimate of 0 hours includes no allowance for post-approval revisions.</w:t>
      </w:r>
    </w:p>
    <w:p>
      <w:r>
        <w:t>Exclusions (not included):</w:t>
      </w:r>
    </w:p>
    <w:p>
      <w:pPr>
        <w:pStyle w:val="ListBullet"/>
      </w:pPr>
      <w:r>
        <w:t>PE stamping or delegated connection design calculations.</w:t>
      </w:r>
    </w:p>
    <w:p>
      <w:pPr>
        <w:pStyle w:val="ListBullet"/>
      </w:pPr>
      <w:r>
        <w:t>Detailing of precast concrete, wood, or any non-steel components.</w:t>
      </w:r>
    </w:p>
    <w:p>
      <w:pPr>
        <w:pStyle w:val="ListBullet"/>
      </w:pPr>
      <w:r>
        <w:t>3D MEP coordination and clash detection.</w:t>
      </w:r>
    </w:p>
    <w:p>
      <w:pPr>
        <w:pStyle w:val="ListBullet"/>
      </w:pPr>
      <w:r>
        <w:t>Vendor-furnished items (e.g., joists, deck, stairs from a stair vendor).</w:t>
      </w:r>
    </w:p>
    <w:p>
      <w:pPr>
        <w:pStyle w:val="ListBullet"/>
      </w:pPr>
      <w:r>
        <w:t>Surveying, field measurements, or as-built verification.</w:t>
      </w:r>
    </w:p>
    <w:p>
      <w:pPr>
        <w:pStyle w:val="ListBullet"/>
      </w:pPr>
      <w:r>
        <w:t>CNC, KSS, or any other machine-specific files unless explicitly requested and priced.</w:t>
      </w:r>
    </w:p>
    <w:p>
      <w:r>
        <w:t>Potential Scope Creep (for PM awareness):</w:t>
      </w:r>
    </w:p>
    <w:p>
      <w:pPr>
        <w:pStyle w:val="ListBullet"/>
      </w:pPr>
      <w:r>
        <w:t>Cannot be determined as the initial scope is undefined.</w:t>
      </w:r>
    </w:p>
    <w:p>
      <w:pPr>
        <w:pStyle w:val="Heading2"/>
      </w:pPr>
      <w:r>
        <w:rPr>
          <w:color w:val="0D2240"/>
        </w:rPr>
        <w:t>10. FINAL RECOMMENDATION AND NEXT STEPS</w:t>
      </w:r>
    </w:p>
    <w:p>
      <w:r>
        <w:t>This report is a template demonstration generated in the absence of project files. It should not be used for any project planning or budgeting.</w:t>
      </w:r>
    </w:p>
    <w:p>
      <w:r>
        <w:t>The immediate and only next step is to provide a complete set of contract documents, including all structural drawings, architectural drawings, and project specifications. Upon receipt of these documents, a full and accurate piece-count estimate will be performed. Any future estimate will completely supersede this placeholder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