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ESTIMATION PRO — TONNAGE × PER-TON BAND</w:t>
      </w:r>
    </w:p>
    <w:p>
      <w:r>
        <w:t>Project: Quick Analysis</w:t>
      </w:r>
    </w:p>
    <w:p>
      <w:r>
        <w:t>Generated: 2026-05-26T11:16:30.774574+00:00</w:t>
      </w:r>
    </w:p>
    <w:p>
      <w:r>
        <w:t>Model: STRUCTMIND CORE · PRO</w:t>
      </w:r>
    </w:p>
    <w:p>
      <w:r>
        <w:t>SHA-256 Hash: 9e6a306734c74bb52ddbb755189eff617fc631958e772534e0f7f72a815902d6</w:t>
      </w:r>
    </w:p>
    <w:p/>
    <w:p>
      <w:r>
        <w:t>To proceed with the SteelSight — Estimation Pro analysis, please provide the following required inputs:</w:t>
      </w:r>
    </w:p>
    <w:p>
      <w:pPr>
        <w:pStyle w:val="ListNumber"/>
      </w:pPr>
      <w:r>
        <w:t>Project Files: Upload all relevant structural drawings (framing plans, elevations, sections, details), specifications, and any available Bill of Materials (BOM).</w:t>
      </w:r>
    </w:p>
    <w:p>
      <w:pPr>
        <w:pStyle w:val="ListNumber"/>
      </w:pPr>
      <w:r>
        <w:t>Per-Ton Rate Band: Specify your shop's commercial per-ton fabrication rates:</w:t>
      </w:r>
    </w:p>
    <w:p>
      <w:pPr>
        <w:pStyle w:val="ListBullet"/>
      </w:pPr>
      <w:r>
        <w:t>RATE_PER_TON_LOW (e.g., $3,500 / ton)</w:t>
      </w:r>
    </w:p>
    <w:p>
      <w:pPr>
        <w:pStyle w:val="ListBullet"/>
      </w:pPr>
      <w:r>
        <w:t>RATE_PER_TON_HIGH (e.g., $4,200 / ton)</w:t>
      </w:r>
    </w:p>
    <w:p>
      <w:r>
        <w:t>Once these inputs are provided, I will execute the full tonnage take-off and cost estimation as per the requested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