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sz w:val="20"/>
        </w:rPr>
        <w:t>4XSTRUCT · STRUCTMIND AI</w:t>
      </w:r>
    </w:p>
    <w:p>
      <w:r>
        <w:rPr>
          <w:b/>
          <w:color w:val="0D2240"/>
          <w:sz w:val="56"/>
        </w:rPr>
        <w:t>ESTIMATION PRO -- HOURS-BASED QUOTATION ENGINE</w:t>
      </w:r>
    </w:p>
    <w:p>
      <w:r>
        <w:t>Project: Quick Analysis</w:t>
      </w:r>
    </w:p>
    <w:p>
      <w:r>
        <w:t>Generated: 2026-05-26T17:20:56.691331+00:00</w:t>
      </w:r>
    </w:p>
    <w:p>
      <w:r>
        <w:t>Model: STRUCTMIND CORE · PRO</w:t>
      </w:r>
    </w:p>
    <w:p>
      <w:r>
        <w:t>SHA-256 Hash: 197d47896b7e2b2b5898efcbf3286ffd8c67c2b42deffe293e4e2e1140aced15</w:t>
      </w:r>
    </w:p>
    <w:p/>
    <w:p>
      <w:r>
        <w:t>---</w:t>
      </w:r>
    </w:p>
    <w:p>
      <w:pPr>
        <w:pStyle w:val="Heading2"/>
      </w:pPr>
      <w:r>
        <w:rPr>
          <w:color w:val="0D2240"/>
        </w:rPr>
        <w:t>CALCULATION MANIFEST -- Single Source of Truth</w:t>
      </w:r>
    </w:p>
    <w:tbl>
      <w:tblPr>
        <w:tblW w:type="auto" w:w="0"/>
        <w:tblLook w:firstColumn="1" w:firstRow="1" w:lastColumn="0" w:lastRow="0" w:noHBand="0" w:noVBand="1" w:val="04A0"/>
      </w:tblPr>
      <w:tblGrid>
        <w:gridCol w:w="4320"/>
        <w:gridCol w:w="4320"/>
      </w:tblGrid>
      <w:tr>
        <w:tc>
          <w:tcPr>
            <w:tcW w:type="dxa" w:w="4320"/>
            <w:shd w:val="clear" w:color="auto" w:fill="0D2240"/>
          </w:tcPr>
          <w:p>
            <w:r>
              <w:rPr>
                <w:b/>
                <w:color w:val="FFFFFF"/>
                <w:sz w:val="20"/>
              </w:rPr>
              <w:t>Parameter</w:t>
            </w:r>
          </w:p>
        </w:tc>
        <w:tc>
          <w:tcPr>
            <w:tcW w:type="dxa" w:w="4320"/>
            <w:shd w:val="clear" w:color="auto" w:fill="0D2240"/>
          </w:tcPr>
          <w:p>
            <w:r>
              <w:rPr>
                <w:b/>
                <w:color w:val="FFFFFF"/>
                <w:sz w:val="20"/>
              </w:rPr>
              <w:t>Value</w:t>
            </w:r>
          </w:p>
        </w:tc>
      </w:tr>
      <w:tr>
        <w:tc>
          <w:tcPr>
            <w:tcW w:type="dxa" w:w="4320"/>
          </w:tcPr>
          <w:p>
            <w:r>
              <w:rPr>
                <w:color w:val="1A2D44"/>
                <w:sz w:val="20"/>
              </w:rPr>
              <w:t>Piece-Count Subtotal Hrs (Low)</w:t>
            </w:r>
          </w:p>
        </w:tc>
        <w:tc>
          <w:tcPr>
            <w:tcW w:type="dxa" w:w="4320"/>
          </w:tcPr>
          <w:p>
            <w:r>
              <w:rPr>
                <w:color w:val="1A2D44"/>
                <w:sz w:val="20"/>
              </w:rPr>
              <w:t>631.46 hrs</w:t>
            </w:r>
          </w:p>
        </w:tc>
      </w:tr>
      <w:tr>
        <w:tc>
          <w:tcPr>
            <w:tcW w:type="dxa" w:w="4320"/>
          </w:tcPr>
          <w:p>
            <w:r>
              <w:rPr>
                <w:color w:val="1A2D44"/>
                <w:sz w:val="20"/>
              </w:rPr>
              <w:t>Piece-Count Subtotal Hrs (High)</w:t>
            </w:r>
          </w:p>
        </w:tc>
        <w:tc>
          <w:tcPr>
            <w:tcW w:type="dxa" w:w="4320"/>
          </w:tcPr>
          <w:p>
            <w:r>
              <w:rPr>
                <w:color w:val="1A2D44"/>
                <w:sz w:val="20"/>
              </w:rPr>
              <w:t>771.81 hrs</w:t>
            </w:r>
          </w:p>
        </w:tc>
      </w:tr>
      <w:tr>
        <w:tc>
          <w:tcPr>
            <w:tcW w:type="dxa" w:w="4320"/>
          </w:tcPr>
          <w:p>
            <w:r>
              <w:rPr>
                <w:color w:val="1A2D44"/>
                <w:sz w:val="20"/>
              </w:rPr>
              <w:t>Confidence Level</w:t>
            </w:r>
          </w:p>
        </w:tc>
        <w:tc>
          <w:tcPr>
            <w:tcW w:type="dxa" w:w="4320"/>
          </w:tcPr>
          <w:p>
            <w:r>
              <w:rPr>
                <w:color w:val="1A2D44"/>
                <w:sz w:val="20"/>
              </w:rPr>
              <w:t>Low</w:t>
            </w:r>
          </w:p>
        </w:tc>
      </w:tr>
      <w:tr>
        <w:tc>
          <w:tcPr>
            <w:tcW w:type="dxa" w:w="4320"/>
          </w:tcPr>
          <w:p>
            <w:r>
              <w:rPr>
                <w:color w:val="1A2D44"/>
                <w:sz w:val="20"/>
              </w:rPr>
              <w:t>Risk Buffer % Applied</w:t>
            </w:r>
          </w:p>
        </w:tc>
        <w:tc>
          <w:tcPr>
            <w:tcW w:type="dxa" w:w="4320"/>
          </w:tcPr>
          <w:p>
            <w:r>
              <w:rPr>
                <w:color w:val="1A2D44"/>
                <w:sz w:val="20"/>
              </w:rPr>
              <w:t>20%</w:t>
            </w:r>
          </w:p>
        </w:tc>
      </w:tr>
      <w:tr>
        <w:tc>
          <w:tcPr>
            <w:tcW w:type="dxa" w:w="4320"/>
          </w:tcPr>
          <w:p>
            <w:r>
              <w:rPr>
                <w:color w:val="1A2D44"/>
                <w:sz w:val="20"/>
              </w:rPr>
              <w:t>Buffer Hrs Added (Low)</w:t>
            </w:r>
          </w:p>
        </w:tc>
        <w:tc>
          <w:tcPr>
            <w:tcW w:type="dxa" w:w="4320"/>
          </w:tcPr>
          <w:p>
            <w:r>
              <w:rPr>
                <w:color w:val="1A2D44"/>
                <w:sz w:val="20"/>
              </w:rPr>
              <w:t>+126.3 hrs</w:t>
            </w:r>
          </w:p>
        </w:tc>
      </w:tr>
      <w:tr>
        <w:tc>
          <w:tcPr>
            <w:tcW w:type="dxa" w:w="4320"/>
          </w:tcPr>
          <w:p>
            <w:r>
              <w:rPr>
                <w:color w:val="1A2D44"/>
                <w:sz w:val="20"/>
              </w:rPr>
              <w:t>Buffer Hrs Added (High)</w:t>
            </w:r>
          </w:p>
        </w:tc>
        <w:tc>
          <w:tcPr>
            <w:tcW w:type="dxa" w:w="4320"/>
          </w:tcPr>
          <w:p>
            <w:r>
              <w:rPr>
                <w:color w:val="1A2D44"/>
                <w:sz w:val="20"/>
              </w:rPr>
              <w:t>+154.4 hrs</w:t>
            </w:r>
          </w:p>
        </w:tc>
      </w:tr>
      <w:tr>
        <w:tc>
          <w:tcPr>
            <w:tcW w:type="dxa" w:w="4320"/>
          </w:tcPr>
          <w:p>
            <w:r>
              <w:rPr>
                <w:color w:val="1A2D44"/>
                <w:sz w:val="20"/>
              </w:rPr>
              <w:t>LOCK_HRS_LOW (Adjusted Total)</w:t>
            </w:r>
          </w:p>
        </w:tc>
        <w:tc>
          <w:tcPr>
            <w:tcW w:type="dxa" w:w="4320"/>
          </w:tcPr>
          <w:p>
            <w:r>
              <w:rPr>
                <w:color w:val="1A2D44"/>
                <w:sz w:val="20"/>
              </w:rPr>
              <w:t>758 hrs</w:t>
            </w:r>
          </w:p>
        </w:tc>
      </w:tr>
      <w:tr>
        <w:tc>
          <w:tcPr>
            <w:tcW w:type="dxa" w:w="4320"/>
          </w:tcPr>
          <w:p>
            <w:r>
              <w:rPr>
                <w:color w:val="1A2D44"/>
                <w:sz w:val="20"/>
              </w:rPr>
              <w:t>LOCK_HRS_HIGH (Adjusted Total)</w:t>
            </w:r>
          </w:p>
        </w:tc>
        <w:tc>
          <w:tcPr>
            <w:tcW w:type="dxa" w:w="4320"/>
          </w:tcPr>
          <w:p>
            <w:r>
              <w:rPr>
                <w:color w:val="1A2D44"/>
                <w:sz w:val="20"/>
              </w:rPr>
              <w:t>926 hrs</w:t>
            </w:r>
          </w:p>
        </w:tc>
      </w:tr>
      <w:tr>
        <w:tc>
          <w:tcPr>
            <w:tcW w:type="dxa" w:w="4320"/>
          </w:tcPr>
          <w:p>
            <w:r>
              <w:rPr>
                <w:color w:val="1A2D44"/>
                <w:sz w:val="20"/>
              </w:rPr>
              <w:t>Internal Rate</w:t>
            </w:r>
          </w:p>
        </w:tc>
        <w:tc>
          <w:tcPr>
            <w:tcW w:type="dxa" w:w="4320"/>
          </w:tcPr>
          <w:p>
            <w:r>
              <w:rPr>
                <w:color w:val="1A2D44"/>
                <w:sz w:val="20"/>
              </w:rPr>
              <w:t>[CONFIDENTIAL]</w:t>
            </w:r>
          </w:p>
        </w:tc>
      </w:tr>
      <w:tr>
        <w:tc>
          <w:tcPr>
            <w:tcW w:type="dxa" w:w="4320"/>
          </w:tcPr>
          <w:p>
            <w:r>
              <w:rPr>
                <w:color w:val="1A2D44"/>
                <w:sz w:val="20"/>
              </w:rPr>
              <w:t>LOCK_COST_LOW</w:t>
            </w:r>
          </w:p>
        </w:tc>
        <w:tc>
          <w:tcPr>
            <w:tcW w:type="dxa" w:w="4320"/>
          </w:tcPr>
          <w:p>
            <w:r>
              <w:rPr>
                <w:color w:val="1A2D44"/>
                <w:sz w:val="20"/>
              </w:rPr>
              <w:t>$13,600</w:t>
            </w:r>
          </w:p>
        </w:tc>
      </w:tr>
      <w:tr>
        <w:tc>
          <w:tcPr>
            <w:tcW w:type="dxa" w:w="4320"/>
          </w:tcPr>
          <w:p>
            <w:r>
              <w:rPr>
                <w:color w:val="1A2D44"/>
                <w:sz w:val="20"/>
              </w:rPr>
              <w:t>LOCK_COST_HIGH</w:t>
            </w:r>
          </w:p>
        </w:tc>
        <w:tc>
          <w:tcPr>
            <w:tcW w:type="dxa" w:w="4320"/>
          </w:tcPr>
          <w:p>
            <w:r>
              <w:rPr>
                <w:color w:val="1A2D44"/>
                <w:sz w:val="20"/>
              </w:rPr>
              <w:t>$16,700</w:t>
            </w:r>
          </w:p>
        </w:tc>
      </w:tr>
    </w:tbl>
    <w:p/>
    <w:p>
      <w:r>
        <w:t>&gt; All four LOCK values above are fixed for this entire document. &gt; Sections 1 and 7 must copy these values exactly -- no re-derivation permitted. ---</w:t>
      </w:r>
    </w:p>
    <w:p>
      <w:r>
        <w:t>---</w:t>
      </w:r>
    </w:p>
    <w:p>
      <w:pPr>
        <w:pStyle w:val="Heading2"/>
      </w:pPr>
      <w:r>
        <w:rPr>
          <w:color w:val="0D2240"/>
        </w:rPr>
        <w:t>1. EXECUTIVE SUMMARY</w:t>
      </w:r>
    </w:p>
    <w:p>
      <w:pPr>
        <w:pStyle w:val="ListBullet"/>
      </w:pPr>
      <w:r>
        <w:t>Project Name / ID: Home 2 - Carowinds Cabelas Dr.</w:t>
      </w:r>
    </w:p>
    <w:p>
      <w:pPr>
        <w:pStyle w:val="ListBullet"/>
      </w:pPr>
      <w:r>
        <w:t>Total Estimated Hours: 758 - 926 hrs</w:t>
      </w:r>
    </w:p>
    <w:p>
      <w:pPr>
        <w:pStyle w:val="ListBullet"/>
      </w:pPr>
      <w:r>
        <w:t>Total Estimated Cost (USD): $13,600 - $16,700</w:t>
      </w:r>
    </w:p>
    <w:p>
      <w:pPr>
        <w:pStyle w:val="ListBullet"/>
      </w:pPr>
      <w:r>
        <w:t>Confidence Level: Low</w:t>
      </w:r>
    </w:p>
    <w:p>
      <w:pPr>
        <w:pStyle w:val="ListBullet"/>
      </w:pPr>
      <w:r>
        <w:t>A significant portion of miscellaneous steel (lintels, bearing plates) had to be estimated as quantities were not provided.</w:t>
      </w:r>
    </w:p>
    <w:p>
      <w:pPr>
        <w:pStyle w:val="ListBullet"/>
      </w:pPr>
      <w:r>
        <w:t>The full scope of required galvanization is not clearly defined on the drawings, requiring a key assumption.</w:t>
      </w:r>
    </w:p>
    <w:p>
      <w:pPr>
        <w:pStyle w:val="ListBullet"/>
      </w:pPr>
      <w:r>
        <w:t>Connection details are not fully specified, relying on assumptions of standard AISC shear connections throughout.</w:t>
      </w:r>
    </w:p>
    <w:p>
      <w:pPr>
        <w:pStyle w:val="ListBullet"/>
      </w:pPr>
      <w:r>
        <w:t>Critical Risks (top 3):</w:t>
      </w:r>
    </w:p>
    <w:p>
      <w:pPr>
        <w:pStyle w:val="ListNumber"/>
      </w:pPr>
      <w:r>
        <w:t>Lintel Quantity Underestimation: Lintel quantities (W-shapes and angles) were estimated. If the actual count from architectural drawings is 50% higher, this could add approximately 85-100 hours to the project.</w:t>
      </w:r>
    </w:p>
    <w:p>
      <w:pPr>
        <w:pStyle w:val="ListNumber"/>
      </w:pPr>
      <w:r>
        <w:t>Undefined Galvanizing Scope: The estimate assumes only loose plates and lintels are galvanized. If all structural steel requires galvanizing, the complexity factor would apply to all beams and columns, adding an estimated 70-90 hours.</w:t>
      </w:r>
    </w:p>
    <w:p>
      <w:pPr>
        <w:pStyle w:val="ListNumber"/>
      </w:pPr>
      <w:r>
        <w:t>Non-Standard Connections: If connections assumed as standard shear tabs are required to be moment, seismic, or otherwise complex, the detailing effort could increase by 40-60 hours depending on the quantity.</w:t>
      </w:r>
    </w:p>
    <w:p>
      <w:r>
        <w:t>---</w:t>
      </w:r>
    </w:p>
    <w:p>
      <w:pPr>
        <w:pStyle w:val="Heading2"/>
      </w:pPr>
      <w:r>
        <w:rPr>
          <w:color w:val="0D2240"/>
        </w:rPr>
        <w:t>2. BASIS OF ESTIMATE</w:t>
      </w:r>
    </w:p>
    <w:p>
      <w:pPr>
        <w:pStyle w:val="ListBullet"/>
      </w:pPr>
      <w:r>
        <w:t>Drawings Reviewed:</w:t>
      </w:r>
    </w:p>
    <w:p>
      <w:pPr>
        <w:pStyle w:val="ListBullet"/>
      </w:pPr>
      <w:r>
        <w:t>S0.01: GENERAL NOTES</w:t>
      </w:r>
    </w:p>
    <w:p>
      <w:pPr>
        <w:pStyle w:val="ListBullet"/>
      </w:pPr>
      <w:r>
        <w:t>S0.02: TYPICAL SCHEDULES &amp; DETAILS</w:t>
      </w:r>
    </w:p>
    <w:p>
      <w:pPr>
        <w:pStyle w:val="ListBullet"/>
      </w:pPr>
      <w:r>
        <w:t>S0.03: SPECIAL INSPECTIONS</w:t>
      </w:r>
    </w:p>
    <w:p>
      <w:pPr>
        <w:pStyle w:val="ListBullet"/>
      </w:pPr>
      <w:r>
        <w:t>S1.01: FOUNDATION PLAN</w:t>
      </w:r>
    </w:p>
    <w:p>
      <w:pPr>
        <w:pStyle w:val="ListBullet"/>
      </w:pPr>
      <w:r>
        <w:t>S1.02: SECOND FLOOR FRAMING PLAN</w:t>
      </w:r>
    </w:p>
    <w:p>
      <w:pPr>
        <w:pStyle w:val="ListBullet"/>
      </w:pPr>
      <w:r>
        <w:t>S1.03: TYPICAL LEVEL FRAMING PLAN</w:t>
      </w:r>
    </w:p>
    <w:p>
      <w:pPr>
        <w:pStyle w:val="ListBullet"/>
      </w:pPr>
      <w:r>
        <w:t>S1.04: ROOF FRAMING PLAN</w:t>
      </w:r>
    </w:p>
    <w:p>
      <w:pPr>
        <w:pStyle w:val="ListBullet"/>
      </w:pPr>
      <w:r>
        <w:t>S2.01: STRUCTURAL WALL DESIGNATION PLAN</w:t>
      </w:r>
    </w:p>
    <w:p>
      <w:pPr>
        <w:pStyle w:val="ListBullet"/>
      </w:pPr>
      <w:r>
        <w:t>S2.02: CMU AND WOOD STUD SCHEDULES</w:t>
      </w:r>
    </w:p>
    <w:p>
      <w:pPr>
        <w:pStyle w:val="ListBullet"/>
      </w:pPr>
      <w:r>
        <w:t>S2.03: CMU REINFORCEMENT ELEVATIONS - STAIR #1/ELEVATOR</w:t>
      </w:r>
    </w:p>
    <w:p>
      <w:pPr>
        <w:pStyle w:val="ListBullet"/>
      </w:pPr>
      <w:r>
        <w:t>S2.04: CMU REINFORCEMENT ELEVATIONS - STAIR #2</w:t>
      </w:r>
    </w:p>
    <w:p>
      <w:pPr>
        <w:pStyle w:val="ListBullet"/>
      </w:pPr>
      <w:r>
        <w:t>S3.01: FOUNDATION SECTIONS</w:t>
      </w:r>
    </w:p>
    <w:p>
      <w:pPr>
        <w:pStyle w:val="ListBullet"/>
      </w:pPr>
      <w:r>
        <w:t>S3.02: FLOOR FRAMING SECTIONS</w:t>
      </w:r>
    </w:p>
    <w:p>
      <w:pPr>
        <w:pStyle w:val="ListBullet"/>
      </w:pPr>
      <w:r>
        <w:t>S3.03: ROOF FRAMING SECTIONS</w:t>
      </w:r>
    </w:p>
    <w:p>
      <w:pPr>
        <w:pStyle w:val="ListBullet"/>
      </w:pPr>
      <w:r>
        <w:t>S3.04: ROOF FRAMING SECTIONS</w:t>
      </w:r>
    </w:p>
    <w:p>
      <w:pPr>
        <w:pStyle w:val="ListBullet"/>
      </w:pPr>
      <w:r>
        <w:t>S3.05: CANOPY FRAMING</w:t>
      </w:r>
    </w:p>
    <w:p>
      <w:pPr>
        <w:pStyle w:val="ListBullet"/>
      </w:pPr>
      <w:r>
        <w:t>S3.06: TRELLIS AND SITE WALL DETAILS</w:t>
      </w:r>
    </w:p>
    <w:p>
      <w:pPr>
        <w:pStyle w:val="ListBullet"/>
      </w:pPr>
      <w:r>
        <w:t>Benchmarks Applied: AISC Manual for standard connection practices, NISD standard hours per piece, and internal historical data for complexity factors.</w:t>
      </w:r>
    </w:p>
    <w:p>
      <w:pPr>
        <w:pStyle w:val="ListBullet"/>
      </w:pPr>
      <w:r>
        <w:t>Complexity Factor Basis: Multipliers were selected based on explicit information where available (e.g., HSS sections called out) and inferred for others (e.g., CMU interface for lintels and bearing plates). A high-repetition efficiency factor was applied to the main floor beams due to the identical framing on three separate floors (Levels 2, 3, 4).</w:t>
      </w:r>
    </w:p>
    <w:p>
      <w:pPr>
        <w:pStyle w:val="ListBullet"/>
      </w:pPr>
      <w:r>
        <w:t>Global Assumptions:</w:t>
      </w:r>
    </w:p>
    <w:p>
      <w:pPr>
        <w:pStyle w:val="ListBullet"/>
      </w:pPr>
      <w:r>
        <w:t>All beam-to-beam and beam-to-column connections are assumed to be standard single-plate or clip-angle shear connections unless a moment or special connection is explicitly detailed.</w:t>
      </w:r>
    </w:p>
    <w:p>
      <w:pPr>
        <w:pStyle w:val="ListBullet"/>
      </w:pPr>
      <w:r>
        <w:t>Steel quantities for three identical floors (Level 2, 3, 4) were derived from sheets S1.02 and S1.03.</w:t>
      </w:r>
    </w:p>
    <w:p>
      <w:pPr>
        <w:pStyle w:val="ListBullet"/>
      </w:pPr>
      <w:r>
        <w:t>Galvanizing is assumed to apply only to loose lintels and all bearing plates per notes on S0.02. Main structural frames are assumed to be shop-primed only.</w:t>
      </w:r>
    </w:p>
    <w:p>
      <w:r>
        <w:t>---</w:t>
      </w:r>
    </w:p>
    <w:p>
      <w:pPr>
        <w:pStyle w:val="Heading2"/>
      </w:pPr>
      <w:r>
        <w:rPr>
          <w:color w:val="0D2240"/>
        </w:rPr>
        <w:t>3. ITEMIZED PIECE-COUNT BREAKDOWN</w:t>
      </w:r>
    </w:p>
    <w:tbl>
      <w:tblPr>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shd w:val="clear" w:color="auto" w:fill="0D2240"/>
          </w:tcPr>
          <w:p>
            <w:r>
              <w:rPr>
                <w:b/>
                <w:color w:val="FFFFFF"/>
                <w:sz w:val="20"/>
              </w:rPr>
              <w:t>Item Type</w:t>
            </w:r>
          </w:p>
        </w:tc>
        <w:tc>
          <w:tcPr>
            <w:tcW w:type="dxa" w:w="864"/>
            <w:shd w:val="clear" w:color="auto" w:fill="0D2240"/>
          </w:tcPr>
          <w:p>
            <w:r>
              <w:rPr>
                <w:b/>
                <w:color w:val="FFFFFF"/>
                <w:sz w:val="20"/>
              </w:rPr>
              <w:t>Sub-Type</w:t>
            </w:r>
          </w:p>
        </w:tc>
        <w:tc>
          <w:tcPr>
            <w:tcW w:type="dxa" w:w="864"/>
            <w:shd w:val="clear" w:color="auto" w:fill="0D2240"/>
          </w:tcPr>
          <w:p>
            <w:r>
              <w:rPr>
                <w:b/>
                <w:color w:val="FFFFFF"/>
                <w:sz w:val="20"/>
              </w:rPr>
              <w:t>Qty</w:t>
            </w:r>
          </w:p>
        </w:tc>
        <w:tc>
          <w:tcPr>
            <w:tcW w:type="dxa" w:w="864"/>
            <w:shd w:val="clear" w:color="auto" w:fill="0D2240"/>
          </w:tcPr>
          <w:p>
            <w:r>
              <w:rPr>
                <w:b/>
                <w:color w:val="FFFFFF"/>
                <w:sz w:val="20"/>
              </w:rPr>
              <w:t>Base Hrs/Unit</w:t>
            </w:r>
          </w:p>
        </w:tc>
        <w:tc>
          <w:tcPr>
            <w:tcW w:type="dxa" w:w="864"/>
            <w:shd w:val="clear" w:color="auto" w:fill="0D2240"/>
          </w:tcPr>
          <w:p>
            <w:r>
              <w:rPr>
                <w:b/>
                <w:color w:val="FFFFFF"/>
                <w:sz w:val="20"/>
              </w:rPr>
              <w:t>Complexity Factors</w:t>
            </w:r>
          </w:p>
        </w:tc>
        <w:tc>
          <w:tcPr>
            <w:tcW w:type="dxa" w:w="864"/>
            <w:shd w:val="clear" w:color="auto" w:fill="0D2240"/>
          </w:tcPr>
          <w:p>
            <w:r>
              <w:rPr>
                <w:b/>
                <w:color w:val="FFFFFF"/>
                <w:sz w:val="20"/>
              </w:rPr>
              <w:t>Adj Hrs/Unit</w:t>
            </w:r>
          </w:p>
        </w:tc>
        <w:tc>
          <w:tcPr>
            <w:tcW w:type="dxa" w:w="864"/>
            <w:shd w:val="clear" w:color="auto" w:fill="0D2240"/>
          </w:tcPr>
          <w:p>
            <w:r>
              <w:rPr>
                <w:b/>
                <w:color w:val="FFFFFF"/>
                <w:sz w:val="20"/>
              </w:rPr>
              <w:t>Est Hrs (Low)</w:t>
            </w:r>
          </w:p>
        </w:tc>
        <w:tc>
          <w:tcPr>
            <w:tcW w:type="dxa" w:w="864"/>
            <w:shd w:val="clear" w:color="auto" w:fill="0D2240"/>
          </w:tcPr>
          <w:p>
            <w:r>
              <w:rPr>
                <w:b/>
                <w:color w:val="FFFFFF"/>
                <w:sz w:val="20"/>
              </w:rPr>
              <w:t>Est Hrs (High)</w:t>
            </w:r>
          </w:p>
        </w:tc>
        <w:tc>
          <w:tcPr>
            <w:tcW w:type="dxa" w:w="864"/>
            <w:shd w:val="clear" w:color="auto" w:fill="0D2240"/>
          </w:tcPr>
          <w:p>
            <w:r>
              <w:rPr>
                <w:b/>
                <w:color w:val="FFFFFF"/>
                <w:sz w:val="20"/>
              </w:rPr>
              <w:t>Source Sheet</w:t>
            </w:r>
          </w:p>
        </w:tc>
        <w:tc>
          <w:tcPr>
            <w:tcW w:type="dxa" w:w="864"/>
            <w:shd w:val="clear" w:color="auto" w:fill="0D2240"/>
          </w:tcPr>
          <w:p>
            <w:r>
              <w:rPr>
                <w:b/>
                <w:color w:val="FFFFFF"/>
                <w:sz w:val="20"/>
              </w:rPr>
              <w:t>Notes</w:t>
            </w:r>
          </w:p>
        </w:tc>
      </w:tr>
      <w:tr>
        <w:tc>
          <w:tcPr>
            <w:tcW w:type="dxa" w:w="864"/>
          </w:tcPr>
          <w:p>
            <w:r>
              <w:rPr>
                <w:color w:val="1A2D44"/>
                <w:sz w:val="20"/>
              </w:rPr>
              <w:t>Columns</w:t>
            </w:r>
          </w:p>
        </w:tc>
        <w:tc>
          <w:tcPr>
            <w:tcW w:type="dxa" w:w="864"/>
          </w:tcPr>
          <w:p>
            <w:r>
              <w:rPr>
                <w:color w:val="1A2D44"/>
                <w:sz w:val="20"/>
              </w:rPr>
              <w:t>Light (HSS6x6x5/16)</w:t>
            </w:r>
          </w:p>
        </w:tc>
        <w:tc>
          <w:tcPr>
            <w:tcW w:type="dxa" w:w="864"/>
          </w:tcPr>
          <w:p>
            <w:r>
              <w:rPr>
                <w:color w:val="1A2D44"/>
                <w:sz w:val="20"/>
              </w:rPr>
              <w:t>2</w:t>
            </w:r>
          </w:p>
        </w:tc>
        <w:tc>
          <w:tcPr>
            <w:tcW w:type="dxa" w:w="864"/>
          </w:tcPr>
          <w:p>
            <w:r>
              <w:rPr>
                <w:color w:val="1A2D44"/>
                <w:sz w:val="20"/>
              </w:rPr>
              <w:t>3.50</w:t>
            </w:r>
          </w:p>
        </w:tc>
        <w:tc>
          <w:tcPr>
            <w:tcW w:type="dxa" w:w="864"/>
          </w:tcPr>
          <w:p>
            <w:r>
              <w:rPr>
                <w:color w:val="1A2D44"/>
                <w:sz w:val="20"/>
              </w:rPr>
              <w:t>HSS (x1.10)</w:t>
            </w:r>
          </w:p>
        </w:tc>
        <w:tc>
          <w:tcPr>
            <w:tcW w:type="dxa" w:w="864"/>
          </w:tcPr>
          <w:p>
            <w:r>
              <w:rPr>
                <w:color w:val="1A2D44"/>
                <w:sz w:val="20"/>
              </w:rPr>
              <w:t>3.85</w:t>
            </w:r>
          </w:p>
        </w:tc>
        <w:tc>
          <w:tcPr>
            <w:tcW w:type="dxa" w:w="864"/>
          </w:tcPr>
          <w:p>
            <w:r>
              <w:rPr>
                <w:color w:val="1A2D44"/>
                <w:sz w:val="20"/>
              </w:rPr>
              <w:t>6.93</w:t>
            </w:r>
          </w:p>
        </w:tc>
        <w:tc>
          <w:tcPr>
            <w:tcW w:type="dxa" w:w="864"/>
          </w:tcPr>
          <w:p>
            <w:r>
              <w:rPr>
                <w:color w:val="1A2D44"/>
                <w:sz w:val="20"/>
              </w:rPr>
              <w:t>8.47</w:t>
            </w:r>
          </w:p>
        </w:tc>
        <w:tc>
          <w:tcPr>
            <w:tcW w:type="dxa" w:w="864"/>
          </w:tcPr>
          <w:p>
            <w:r>
              <w:rPr>
                <w:color w:val="1A2D44"/>
                <w:sz w:val="20"/>
              </w:rPr>
              <w:t>S1.01</w:t>
            </w:r>
          </w:p>
        </w:tc>
        <w:tc>
          <w:tcPr>
            <w:tcW w:type="dxa" w:w="864"/>
          </w:tcPr>
          <w:p>
            <w:r>
              <w:rPr>
                <w:color w:val="1A2D44"/>
                <w:sz w:val="20"/>
              </w:rPr>
              <w:t>Mark C5</w:t>
            </w:r>
          </w:p>
        </w:tc>
      </w:tr>
      <w:tr>
        <w:tc>
          <w:tcPr>
            <w:tcW w:type="dxa" w:w="864"/>
          </w:tcPr>
          <w:p>
            <w:r>
              <w:rPr>
                <w:color w:val="1A2D44"/>
                <w:sz w:val="20"/>
              </w:rPr>
              <w:t>Columns</w:t>
            </w:r>
          </w:p>
        </w:tc>
        <w:tc>
          <w:tcPr>
            <w:tcW w:type="dxa" w:w="864"/>
          </w:tcPr>
          <w:p>
            <w:r>
              <w:rPr>
                <w:color w:val="1A2D44"/>
                <w:sz w:val="20"/>
              </w:rPr>
              <w:t>Light (HSS6x6x5/16)</w:t>
            </w:r>
          </w:p>
        </w:tc>
        <w:tc>
          <w:tcPr>
            <w:tcW w:type="dxa" w:w="864"/>
          </w:tcPr>
          <w:p>
            <w:r>
              <w:rPr>
                <w:color w:val="1A2D44"/>
                <w:sz w:val="20"/>
              </w:rPr>
              <w:t>4</w:t>
            </w:r>
          </w:p>
        </w:tc>
        <w:tc>
          <w:tcPr>
            <w:tcW w:type="dxa" w:w="864"/>
          </w:tcPr>
          <w:p>
            <w:r>
              <w:rPr>
                <w:color w:val="1A2D44"/>
                <w:sz w:val="20"/>
              </w:rPr>
              <w:t>3.50</w:t>
            </w:r>
          </w:p>
        </w:tc>
        <w:tc>
          <w:tcPr>
            <w:tcW w:type="dxa" w:w="864"/>
          </w:tcPr>
          <w:p>
            <w:r>
              <w:rPr>
                <w:color w:val="1A2D44"/>
                <w:sz w:val="20"/>
              </w:rPr>
              <w:t>HSS (x1.10)</w:t>
            </w:r>
          </w:p>
        </w:tc>
        <w:tc>
          <w:tcPr>
            <w:tcW w:type="dxa" w:w="864"/>
          </w:tcPr>
          <w:p>
            <w:r>
              <w:rPr>
                <w:color w:val="1A2D44"/>
                <w:sz w:val="20"/>
              </w:rPr>
              <w:t>3.85</w:t>
            </w:r>
          </w:p>
        </w:tc>
        <w:tc>
          <w:tcPr>
            <w:tcW w:type="dxa" w:w="864"/>
          </w:tcPr>
          <w:p>
            <w:r>
              <w:rPr>
                <w:color w:val="1A2D44"/>
                <w:sz w:val="20"/>
              </w:rPr>
              <w:t>13.86</w:t>
            </w:r>
          </w:p>
        </w:tc>
        <w:tc>
          <w:tcPr>
            <w:tcW w:type="dxa" w:w="864"/>
          </w:tcPr>
          <w:p>
            <w:r>
              <w:rPr>
                <w:color w:val="1A2D44"/>
                <w:sz w:val="20"/>
              </w:rPr>
              <w:t>16.94</w:t>
            </w:r>
          </w:p>
        </w:tc>
        <w:tc>
          <w:tcPr>
            <w:tcW w:type="dxa" w:w="864"/>
          </w:tcPr>
          <w:p>
            <w:r>
              <w:rPr>
                <w:color w:val="1A2D44"/>
                <w:sz w:val="20"/>
              </w:rPr>
              <w:t>S1.01</w:t>
            </w:r>
          </w:p>
        </w:tc>
        <w:tc>
          <w:tcPr>
            <w:tcW w:type="dxa" w:w="864"/>
          </w:tcPr>
          <w:p>
            <w:r>
              <w:rPr>
                <w:color w:val="1A2D44"/>
                <w:sz w:val="20"/>
              </w:rPr>
              <w:t>Mark CSA (Wind Post)</w:t>
            </w:r>
          </w:p>
        </w:tc>
      </w:tr>
      <w:tr>
        <w:tc>
          <w:tcPr>
            <w:tcW w:type="dxa" w:w="864"/>
          </w:tcPr>
          <w:p>
            <w:r>
              <w:rPr>
                <w:color w:val="1A2D44"/>
                <w:sz w:val="20"/>
              </w:rPr>
              <w:t>Columns</w:t>
            </w:r>
          </w:p>
        </w:tc>
        <w:tc>
          <w:tcPr>
            <w:tcW w:type="dxa" w:w="864"/>
          </w:tcPr>
          <w:p>
            <w:r>
              <w:rPr>
                <w:color w:val="1A2D44"/>
                <w:sz w:val="20"/>
              </w:rPr>
              <w:t>Light (HSS6x6x3/8)</w:t>
            </w:r>
          </w:p>
        </w:tc>
        <w:tc>
          <w:tcPr>
            <w:tcW w:type="dxa" w:w="864"/>
          </w:tcPr>
          <w:p>
            <w:r>
              <w:rPr>
                <w:color w:val="1A2D44"/>
                <w:sz w:val="20"/>
              </w:rPr>
              <w:t>2</w:t>
            </w:r>
          </w:p>
        </w:tc>
        <w:tc>
          <w:tcPr>
            <w:tcW w:type="dxa" w:w="864"/>
          </w:tcPr>
          <w:p>
            <w:r>
              <w:rPr>
                <w:color w:val="1A2D44"/>
                <w:sz w:val="20"/>
              </w:rPr>
              <w:t>3.50</w:t>
            </w:r>
          </w:p>
        </w:tc>
        <w:tc>
          <w:tcPr>
            <w:tcW w:type="dxa" w:w="864"/>
          </w:tcPr>
          <w:p>
            <w:r>
              <w:rPr>
                <w:color w:val="1A2D44"/>
                <w:sz w:val="20"/>
              </w:rPr>
              <w:t>HSS (x1.10)</w:t>
            </w:r>
          </w:p>
        </w:tc>
        <w:tc>
          <w:tcPr>
            <w:tcW w:type="dxa" w:w="864"/>
          </w:tcPr>
          <w:p>
            <w:r>
              <w:rPr>
                <w:color w:val="1A2D44"/>
                <w:sz w:val="20"/>
              </w:rPr>
              <w:t>3.85</w:t>
            </w:r>
          </w:p>
        </w:tc>
        <w:tc>
          <w:tcPr>
            <w:tcW w:type="dxa" w:w="864"/>
          </w:tcPr>
          <w:p>
            <w:r>
              <w:rPr>
                <w:color w:val="1A2D44"/>
                <w:sz w:val="20"/>
              </w:rPr>
              <w:t>6.93</w:t>
            </w:r>
          </w:p>
        </w:tc>
        <w:tc>
          <w:tcPr>
            <w:tcW w:type="dxa" w:w="864"/>
          </w:tcPr>
          <w:p>
            <w:r>
              <w:rPr>
                <w:color w:val="1A2D44"/>
                <w:sz w:val="20"/>
              </w:rPr>
              <w:t>8.47</w:t>
            </w:r>
          </w:p>
        </w:tc>
        <w:tc>
          <w:tcPr>
            <w:tcW w:type="dxa" w:w="864"/>
          </w:tcPr>
          <w:p>
            <w:r>
              <w:rPr>
                <w:color w:val="1A2D44"/>
                <w:sz w:val="20"/>
              </w:rPr>
              <w:t>S1.01</w:t>
            </w:r>
          </w:p>
        </w:tc>
        <w:tc>
          <w:tcPr>
            <w:tcW w:type="dxa" w:w="864"/>
          </w:tcPr>
          <w:p>
            <w:r>
              <w:rPr>
                <w:color w:val="1A2D44"/>
                <w:sz w:val="20"/>
              </w:rPr>
              <w:t>Mark C6</w:t>
            </w:r>
          </w:p>
        </w:tc>
      </w:tr>
      <w:tr>
        <w:tc>
          <w:tcPr>
            <w:tcW w:type="dxa" w:w="864"/>
          </w:tcPr>
          <w:p>
            <w:r>
              <w:rPr>
                <w:color w:val="1A2D44"/>
                <w:sz w:val="20"/>
              </w:rPr>
              <w:t>Columns</w:t>
            </w:r>
          </w:p>
        </w:tc>
        <w:tc>
          <w:tcPr>
            <w:tcW w:type="dxa" w:w="864"/>
          </w:tcPr>
          <w:p>
            <w:r>
              <w:rPr>
                <w:color w:val="1A2D44"/>
                <w:sz w:val="20"/>
              </w:rPr>
              <w:t>Light (HSS8x6x3/8)</w:t>
            </w:r>
          </w:p>
        </w:tc>
        <w:tc>
          <w:tcPr>
            <w:tcW w:type="dxa" w:w="864"/>
          </w:tcPr>
          <w:p>
            <w:r>
              <w:rPr>
                <w:color w:val="1A2D44"/>
                <w:sz w:val="20"/>
              </w:rPr>
              <w:t>2</w:t>
            </w:r>
          </w:p>
        </w:tc>
        <w:tc>
          <w:tcPr>
            <w:tcW w:type="dxa" w:w="864"/>
          </w:tcPr>
          <w:p>
            <w:r>
              <w:rPr>
                <w:color w:val="1A2D44"/>
                <w:sz w:val="20"/>
              </w:rPr>
              <w:t>3.50</w:t>
            </w:r>
          </w:p>
        </w:tc>
        <w:tc>
          <w:tcPr>
            <w:tcW w:type="dxa" w:w="864"/>
          </w:tcPr>
          <w:p>
            <w:r>
              <w:rPr>
                <w:color w:val="1A2D44"/>
                <w:sz w:val="20"/>
              </w:rPr>
              <w:t>HSS (x1.10)</w:t>
            </w:r>
          </w:p>
        </w:tc>
        <w:tc>
          <w:tcPr>
            <w:tcW w:type="dxa" w:w="864"/>
          </w:tcPr>
          <w:p>
            <w:r>
              <w:rPr>
                <w:color w:val="1A2D44"/>
                <w:sz w:val="20"/>
              </w:rPr>
              <w:t>3.85</w:t>
            </w:r>
          </w:p>
        </w:tc>
        <w:tc>
          <w:tcPr>
            <w:tcW w:type="dxa" w:w="864"/>
          </w:tcPr>
          <w:p>
            <w:r>
              <w:rPr>
                <w:color w:val="1A2D44"/>
                <w:sz w:val="20"/>
              </w:rPr>
              <w:t>6.93</w:t>
            </w:r>
          </w:p>
        </w:tc>
        <w:tc>
          <w:tcPr>
            <w:tcW w:type="dxa" w:w="864"/>
          </w:tcPr>
          <w:p>
            <w:r>
              <w:rPr>
                <w:color w:val="1A2D44"/>
                <w:sz w:val="20"/>
              </w:rPr>
              <w:t>8.47</w:t>
            </w:r>
          </w:p>
        </w:tc>
        <w:tc>
          <w:tcPr>
            <w:tcW w:type="dxa" w:w="864"/>
          </w:tcPr>
          <w:p>
            <w:r>
              <w:rPr>
                <w:color w:val="1A2D44"/>
                <w:sz w:val="20"/>
              </w:rPr>
              <w:t>S1.01</w:t>
            </w:r>
          </w:p>
        </w:tc>
        <w:tc>
          <w:tcPr>
            <w:tcW w:type="dxa" w:w="864"/>
          </w:tcPr>
          <w:p>
            <w:r>
              <w:rPr>
                <w:color w:val="1A2D44"/>
                <w:sz w:val="20"/>
              </w:rPr>
              <w:t>Mark C86</w:t>
            </w:r>
          </w:p>
        </w:tc>
      </w:tr>
      <w:tr>
        <w:tc>
          <w:tcPr>
            <w:tcW w:type="dxa" w:w="864"/>
          </w:tcPr>
          <w:p>
            <w:r>
              <w:rPr>
                <w:color w:val="1A2D44"/>
                <w:sz w:val="20"/>
              </w:rPr>
              <w:t>Columns</w:t>
            </w:r>
          </w:p>
        </w:tc>
        <w:tc>
          <w:tcPr>
            <w:tcW w:type="dxa" w:w="864"/>
          </w:tcPr>
          <w:p>
            <w:r>
              <w:rPr>
                <w:color w:val="1A2D44"/>
                <w:sz w:val="20"/>
              </w:rPr>
              <w:t>Light (HSS8x6x3/8)</w:t>
            </w:r>
          </w:p>
        </w:tc>
        <w:tc>
          <w:tcPr>
            <w:tcW w:type="dxa" w:w="864"/>
          </w:tcPr>
          <w:p>
            <w:r>
              <w:rPr>
                <w:color w:val="1A2D44"/>
                <w:sz w:val="20"/>
              </w:rPr>
              <w:t>Est. 8</w:t>
            </w:r>
          </w:p>
        </w:tc>
        <w:tc>
          <w:tcPr>
            <w:tcW w:type="dxa" w:w="864"/>
          </w:tcPr>
          <w:p>
            <w:r>
              <w:rPr>
                <w:color w:val="1A2D44"/>
                <w:sz w:val="20"/>
              </w:rPr>
              <w:t>3.50</w:t>
            </w:r>
          </w:p>
        </w:tc>
        <w:tc>
          <w:tcPr>
            <w:tcW w:type="dxa" w:w="864"/>
          </w:tcPr>
          <w:p>
            <w:r>
              <w:rPr>
                <w:color w:val="1A2D44"/>
                <w:sz w:val="20"/>
              </w:rPr>
              <w:t>HSS (x1.10)</w:t>
            </w:r>
          </w:p>
        </w:tc>
        <w:tc>
          <w:tcPr>
            <w:tcW w:type="dxa" w:w="864"/>
          </w:tcPr>
          <w:p>
            <w:r>
              <w:rPr>
                <w:color w:val="1A2D44"/>
                <w:sz w:val="20"/>
              </w:rPr>
              <w:t>3.85</w:t>
            </w:r>
          </w:p>
        </w:tc>
        <w:tc>
          <w:tcPr>
            <w:tcW w:type="dxa" w:w="864"/>
          </w:tcPr>
          <w:p>
            <w:r>
              <w:rPr>
                <w:color w:val="1A2D44"/>
                <w:sz w:val="20"/>
              </w:rPr>
              <w:t>27.72</w:t>
            </w:r>
          </w:p>
        </w:tc>
        <w:tc>
          <w:tcPr>
            <w:tcW w:type="dxa" w:w="864"/>
          </w:tcPr>
          <w:p>
            <w:r>
              <w:rPr>
                <w:color w:val="1A2D44"/>
                <w:sz w:val="20"/>
              </w:rPr>
              <w:t>33.88</w:t>
            </w:r>
          </w:p>
        </w:tc>
        <w:tc>
          <w:tcPr>
            <w:tcW w:type="dxa" w:w="864"/>
          </w:tcPr>
          <w:p>
            <w:r>
              <w:rPr>
                <w:color w:val="1A2D44"/>
                <w:sz w:val="20"/>
              </w:rPr>
              <w:t>S3.06</w:t>
            </w:r>
          </w:p>
        </w:tc>
        <w:tc>
          <w:tcPr>
            <w:tcW w:type="dxa" w:w="864"/>
          </w:tcPr>
          <w:p>
            <w:r>
              <w:rPr>
                <w:color w:val="1A2D44"/>
                <w:sz w:val="20"/>
              </w:rPr>
              <w:t>Trellis Columns, Qty Est.</w:t>
            </w:r>
          </w:p>
        </w:tc>
      </w:tr>
      <w:tr>
        <w:tc>
          <w:tcPr>
            <w:tcW w:type="dxa" w:w="864"/>
          </w:tcPr>
          <w:p>
            <w:r>
              <w:rPr>
                <w:color w:val="1A2D44"/>
                <w:sz w:val="20"/>
              </w:rPr>
              <w:t>Beams</w:t>
            </w:r>
          </w:p>
        </w:tc>
        <w:tc>
          <w:tcPr>
            <w:tcW w:type="dxa" w:w="864"/>
          </w:tcPr>
          <w:p>
            <w:r>
              <w:rPr>
                <w:color w:val="1A2D44"/>
                <w:sz w:val="20"/>
              </w:rPr>
              <w:t>Simple (&lt;30 ft)</w:t>
            </w:r>
          </w:p>
        </w:tc>
        <w:tc>
          <w:tcPr>
            <w:tcW w:type="dxa" w:w="864"/>
          </w:tcPr>
          <w:p>
            <w:r>
              <w:rPr>
                <w:color w:val="1A2D44"/>
                <w:sz w:val="20"/>
              </w:rPr>
              <w:t>168</w:t>
            </w:r>
          </w:p>
        </w:tc>
        <w:tc>
          <w:tcPr>
            <w:tcW w:type="dxa" w:w="864"/>
          </w:tcPr>
          <w:p>
            <w:r>
              <w:rPr>
                <w:color w:val="1A2D44"/>
                <w:sz w:val="20"/>
              </w:rPr>
              <w:t>2.50</w:t>
            </w:r>
          </w:p>
        </w:tc>
        <w:tc>
          <w:tcPr>
            <w:tcW w:type="dxa" w:w="864"/>
          </w:tcPr>
          <w:p>
            <w:r>
              <w:rPr>
                <w:color w:val="1A2D44"/>
                <w:sz w:val="20"/>
              </w:rPr>
              <w:t>High-rise repetition (x0.85)</w:t>
            </w:r>
          </w:p>
        </w:tc>
        <w:tc>
          <w:tcPr>
            <w:tcW w:type="dxa" w:w="864"/>
          </w:tcPr>
          <w:p>
            <w:r>
              <w:rPr>
                <w:color w:val="1A2D44"/>
                <w:sz w:val="20"/>
              </w:rPr>
              <w:t>2.13</w:t>
            </w:r>
          </w:p>
        </w:tc>
        <w:tc>
          <w:tcPr>
            <w:tcW w:type="dxa" w:w="864"/>
          </w:tcPr>
          <w:p>
            <w:r>
              <w:rPr>
                <w:color w:val="1A2D44"/>
                <w:sz w:val="20"/>
              </w:rPr>
              <w:t>321.48</w:t>
            </w:r>
          </w:p>
        </w:tc>
        <w:tc>
          <w:tcPr>
            <w:tcW w:type="dxa" w:w="864"/>
          </w:tcPr>
          <w:p>
            <w:r>
              <w:rPr>
                <w:color w:val="1A2D44"/>
                <w:sz w:val="20"/>
              </w:rPr>
              <w:t>392.95</w:t>
            </w:r>
          </w:p>
        </w:tc>
        <w:tc>
          <w:tcPr>
            <w:tcW w:type="dxa" w:w="864"/>
          </w:tcPr>
          <w:p>
            <w:r>
              <w:rPr>
                <w:color w:val="1A2D44"/>
                <w:sz w:val="20"/>
              </w:rPr>
              <w:t>S1.02, S1.03</w:t>
            </w:r>
          </w:p>
        </w:tc>
        <w:tc>
          <w:tcPr>
            <w:tcW w:type="dxa" w:w="864"/>
          </w:tcPr>
          <w:p>
            <w:r>
              <w:rPr>
                <w:color w:val="1A2D44"/>
                <w:sz w:val="20"/>
              </w:rPr>
              <w:t>W14x22, 3 floors</w:t>
            </w:r>
          </w:p>
        </w:tc>
      </w:tr>
      <w:tr>
        <w:tc>
          <w:tcPr>
            <w:tcW w:type="dxa" w:w="864"/>
          </w:tcPr>
          <w:p>
            <w:r>
              <w:rPr>
                <w:color w:val="1A2D44"/>
                <w:sz w:val="20"/>
              </w:rPr>
              <w:t>Beams</w:t>
            </w:r>
          </w:p>
        </w:tc>
        <w:tc>
          <w:tcPr>
            <w:tcW w:type="dxa" w:w="864"/>
          </w:tcPr>
          <w:p>
            <w:r>
              <w:rPr>
                <w:color w:val="1A2D44"/>
                <w:sz w:val="20"/>
              </w:rPr>
              <w:t>Simple (&lt;30 ft)</w:t>
            </w:r>
          </w:p>
        </w:tc>
        <w:tc>
          <w:tcPr>
            <w:tcW w:type="dxa" w:w="864"/>
          </w:tcPr>
          <w:p>
            <w:r>
              <w:rPr>
                <w:color w:val="1A2D44"/>
                <w:sz w:val="20"/>
              </w:rPr>
              <w:t>3</w:t>
            </w:r>
          </w:p>
        </w:tc>
        <w:tc>
          <w:tcPr>
            <w:tcW w:type="dxa" w:w="864"/>
          </w:tcPr>
          <w:p>
            <w:r>
              <w:rPr>
                <w:color w:val="1A2D44"/>
                <w:sz w:val="20"/>
              </w:rPr>
              <w:t>2.50</w:t>
            </w:r>
          </w:p>
        </w:tc>
        <w:tc>
          <w:tcPr>
            <w:tcW w:type="dxa" w:w="864"/>
          </w:tcPr>
          <w:p>
            <w:r>
              <w:rPr>
                <w:color w:val="1A2D44"/>
                <w:sz w:val="20"/>
              </w:rPr>
              <w:t>Standard complexity (x1.00)</w:t>
            </w:r>
          </w:p>
        </w:tc>
        <w:tc>
          <w:tcPr>
            <w:tcW w:type="dxa" w:w="864"/>
          </w:tcPr>
          <w:p>
            <w:r>
              <w:rPr>
                <w:color w:val="1A2D44"/>
                <w:sz w:val="20"/>
              </w:rPr>
              <w:t>2.50</w:t>
            </w:r>
          </w:p>
        </w:tc>
        <w:tc>
          <w:tcPr>
            <w:tcW w:type="dxa" w:w="864"/>
          </w:tcPr>
          <w:p>
            <w:r>
              <w:rPr>
                <w:color w:val="1A2D44"/>
                <w:sz w:val="20"/>
              </w:rPr>
              <w:t>6.75</w:t>
            </w:r>
          </w:p>
        </w:tc>
        <w:tc>
          <w:tcPr>
            <w:tcW w:type="dxa" w:w="864"/>
          </w:tcPr>
          <w:p>
            <w:r>
              <w:rPr>
                <w:color w:val="1A2D44"/>
                <w:sz w:val="20"/>
              </w:rPr>
              <w:t>8.25</w:t>
            </w:r>
          </w:p>
        </w:tc>
        <w:tc>
          <w:tcPr>
            <w:tcW w:type="dxa" w:w="864"/>
          </w:tcPr>
          <w:p>
            <w:r>
              <w:rPr>
                <w:color w:val="1A2D44"/>
                <w:sz w:val="20"/>
              </w:rPr>
              <w:t>S1.02, S1.03</w:t>
            </w:r>
          </w:p>
        </w:tc>
        <w:tc>
          <w:tcPr>
            <w:tcW w:type="dxa" w:w="864"/>
          </w:tcPr>
          <w:p>
            <w:r>
              <w:rPr>
                <w:color w:val="1A2D44"/>
                <w:sz w:val="20"/>
              </w:rPr>
              <w:t>W16x36, 3 floors</w:t>
            </w:r>
          </w:p>
        </w:tc>
      </w:tr>
      <w:tr>
        <w:tc>
          <w:tcPr>
            <w:tcW w:type="dxa" w:w="864"/>
          </w:tcPr>
          <w:p>
            <w:r>
              <w:rPr>
                <w:color w:val="1A2D44"/>
                <w:sz w:val="20"/>
              </w:rPr>
              <w:t>Beams</w:t>
            </w:r>
          </w:p>
        </w:tc>
        <w:tc>
          <w:tcPr>
            <w:tcW w:type="dxa" w:w="864"/>
          </w:tcPr>
          <w:p>
            <w:r>
              <w:rPr>
                <w:color w:val="1A2D44"/>
                <w:sz w:val="20"/>
              </w:rPr>
              <w:t>Standard (30-50 ft)</w:t>
            </w:r>
          </w:p>
        </w:tc>
        <w:tc>
          <w:tcPr>
            <w:tcW w:type="dxa" w:w="864"/>
          </w:tcPr>
          <w:p>
            <w:r>
              <w:rPr>
                <w:color w:val="1A2D44"/>
                <w:sz w:val="20"/>
              </w:rPr>
              <w:t>9</w:t>
            </w:r>
          </w:p>
        </w:tc>
        <w:tc>
          <w:tcPr>
            <w:tcW w:type="dxa" w:w="864"/>
          </w:tcPr>
          <w:p>
            <w:r>
              <w:rPr>
                <w:color w:val="1A2D44"/>
                <w:sz w:val="20"/>
              </w:rPr>
              <w:t>3.50</w:t>
            </w:r>
          </w:p>
        </w:tc>
        <w:tc>
          <w:tcPr>
            <w:tcW w:type="dxa" w:w="864"/>
          </w:tcPr>
          <w:p>
            <w:r>
              <w:rPr>
                <w:color w:val="1A2D44"/>
                <w:sz w:val="20"/>
              </w:rPr>
              <w:t>HSS (x1.10)</w:t>
            </w:r>
          </w:p>
        </w:tc>
        <w:tc>
          <w:tcPr>
            <w:tcW w:type="dxa" w:w="864"/>
          </w:tcPr>
          <w:p>
            <w:r>
              <w:rPr>
                <w:color w:val="1A2D44"/>
                <w:sz w:val="20"/>
              </w:rPr>
              <w:t>3.85</w:t>
            </w:r>
          </w:p>
        </w:tc>
        <w:tc>
          <w:tcPr>
            <w:tcW w:type="dxa" w:w="864"/>
          </w:tcPr>
          <w:p>
            <w:r>
              <w:rPr>
                <w:color w:val="1A2D44"/>
                <w:sz w:val="20"/>
              </w:rPr>
              <w:t>31.19</w:t>
            </w:r>
          </w:p>
        </w:tc>
        <w:tc>
          <w:tcPr>
            <w:tcW w:type="dxa" w:w="864"/>
          </w:tcPr>
          <w:p>
            <w:r>
              <w:rPr>
                <w:color w:val="1A2D44"/>
                <w:sz w:val="20"/>
              </w:rPr>
              <w:t>38.12</w:t>
            </w:r>
          </w:p>
        </w:tc>
        <w:tc>
          <w:tcPr>
            <w:tcW w:type="dxa" w:w="864"/>
          </w:tcPr>
          <w:p>
            <w:r>
              <w:rPr>
                <w:color w:val="1A2D44"/>
                <w:sz w:val="20"/>
              </w:rPr>
              <w:t>S1.02, S1.03</w:t>
            </w:r>
          </w:p>
        </w:tc>
        <w:tc>
          <w:tcPr>
            <w:tcW w:type="dxa" w:w="864"/>
          </w:tcPr>
          <w:p>
            <w:r>
              <w:rPr>
                <w:color w:val="1A2D44"/>
                <w:sz w:val="20"/>
              </w:rPr>
              <w:t>HSS18x6x3/8, 3 floors</w:t>
            </w:r>
          </w:p>
        </w:tc>
      </w:tr>
      <w:tr>
        <w:tc>
          <w:tcPr>
            <w:tcW w:type="dxa" w:w="864"/>
          </w:tcPr>
          <w:p>
            <w:r>
              <w:rPr>
                <w:color w:val="1A2D44"/>
                <w:sz w:val="20"/>
              </w:rPr>
              <w:t>Beams</w:t>
            </w:r>
          </w:p>
        </w:tc>
        <w:tc>
          <w:tcPr>
            <w:tcW w:type="dxa" w:w="864"/>
          </w:tcPr>
          <w:p>
            <w:r>
              <w:rPr>
                <w:color w:val="1A2D44"/>
                <w:sz w:val="20"/>
              </w:rPr>
              <w:t>Simple (&lt;30 ft)</w:t>
            </w:r>
          </w:p>
        </w:tc>
        <w:tc>
          <w:tcPr>
            <w:tcW w:type="dxa" w:w="864"/>
          </w:tcPr>
          <w:p>
            <w:r>
              <w:rPr>
                <w:color w:val="1A2D44"/>
                <w:sz w:val="20"/>
              </w:rPr>
              <w:t>3</w:t>
            </w:r>
          </w:p>
        </w:tc>
        <w:tc>
          <w:tcPr>
            <w:tcW w:type="dxa" w:w="864"/>
          </w:tcPr>
          <w:p>
            <w:r>
              <w:rPr>
                <w:color w:val="1A2D44"/>
                <w:sz w:val="20"/>
              </w:rPr>
              <w:t>2.50</w:t>
            </w:r>
          </w:p>
        </w:tc>
        <w:tc>
          <w:tcPr>
            <w:tcW w:type="dxa" w:w="864"/>
          </w:tcPr>
          <w:p>
            <w:r>
              <w:rPr>
                <w:color w:val="1A2D44"/>
                <w:sz w:val="20"/>
              </w:rPr>
              <w:t>HSS (x1.10)</w:t>
            </w:r>
          </w:p>
        </w:tc>
        <w:tc>
          <w:tcPr>
            <w:tcW w:type="dxa" w:w="864"/>
          </w:tcPr>
          <w:p>
            <w:r>
              <w:rPr>
                <w:color w:val="1A2D44"/>
                <w:sz w:val="20"/>
              </w:rPr>
              <w:t>2.75</w:t>
            </w:r>
          </w:p>
        </w:tc>
        <w:tc>
          <w:tcPr>
            <w:tcW w:type="dxa" w:w="864"/>
          </w:tcPr>
          <w:p>
            <w:r>
              <w:rPr>
                <w:color w:val="1A2D44"/>
                <w:sz w:val="20"/>
              </w:rPr>
              <w:t>7.43</w:t>
            </w:r>
          </w:p>
        </w:tc>
        <w:tc>
          <w:tcPr>
            <w:tcW w:type="dxa" w:w="864"/>
          </w:tcPr>
          <w:p>
            <w:r>
              <w:rPr>
                <w:color w:val="1A2D44"/>
                <w:sz w:val="20"/>
              </w:rPr>
              <w:t>9.08</w:t>
            </w:r>
          </w:p>
        </w:tc>
        <w:tc>
          <w:tcPr>
            <w:tcW w:type="dxa" w:w="864"/>
          </w:tcPr>
          <w:p>
            <w:r>
              <w:rPr>
                <w:color w:val="1A2D44"/>
                <w:sz w:val="20"/>
              </w:rPr>
              <w:t>S1.02, S1.03</w:t>
            </w:r>
          </w:p>
        </w:tc>
        <w:tc>
          <w:tcPr>
            <w:tcW w:type="dxa" w:w="864"/>
          </w:tcPr>
          <w:p>
            <w:r>
              <w:rPr>
                <w:color w:val="1A2D44"/>
                <w:sz w:val="20"/>
              </w:rPr>
              <w:t>HSS9x5x3/8, 3 floors</w:t>
            </w:r>
          </w:p>
        </w:tc>
      </w:tr>
      <w:tr>
        <w:tc>
          <w:tcPr>
            <w:tcW w:type="dxa" w:w="864"/>
          </w:tcPr>
          <w:p>
            <w:r>
              <w:rPr>
                <w:color w:val="1A2D44"/>
                <w:sz w:val="20"/>
              </w:rPr>
              <w:t>Beams</w:t>
            </w:r>
          </w:p>
        </w:tc>
        <w:tc>
          <w:tcPr>
            <w:tcW w:type="dxa" w:w="864"/>
          </w:tcPr>
          <w:p>
            <w:r>
              <w:rPr>
                <w:color w:val="1A2D44"/>
                <w:sz w:val="20"/>
              </w:rPr>
              <w:t>Simple (&lt;30 ft)</w:t>
            </w:r>
          </w:p>
        </w:tc>
        <w:tc>
          <w:tcPr>
            <w:tcW w:type="dxa" w:w="864"/>
          </w:tcPr>
          <w:p>
            <w:r>
              <w:rPr>
                <w:color w:val="1A2D44"/>
                <w:sz w:val="20"/>
              </w:rPr>
              <w:t>3</w:t>
            </w:r>
          </w:p>
        </w:tc>
        <w:tc>
          <w:tcPr>
            <w:tcW w:type="dxa" w:w="864"/>
          </w:tcPr>
          <w:p>
            <w:r>
              <w:rPr>
                <w:color w:val="1A2D44"/>
                <w:sz w:val="20"/>
              </w:rPr>
              <w:t>2.50</w:t>
            </w:r>
          </w:p>
        </w:tc>
        <w:tc>
          <w:tcPr>
            <w:tcW w:type="dxa" w:w="864"/>
          </w:tcPr>
          <w:p>
            <w:r>
              <w:rPr>
                <w:color w:val="1A2D44"/>
                <w:sz w:val="20"/>
              </w:rPr>
              <w:t>HSS (x1.10)</w:t>
            </w:r>
          </w:p>
        </w:tc>
        <w:tc>
          <w:tcPr>
            <w:tcW w:type="dxa" w:w="864"/>
          </w:tcPr>
          <w:p>
            <w:r>
              <w:rPr>
                <w:color w:val="1A2D44"/>
                <w:sz w:val="20"/>
              </w:rPr>
              <w:t>2.75</w:t>
            </w:r>
          </w:p>
        </w:tc>
        <w:tc>
          <w:tcPr>
            <w:tcW w:type="dxa" w:w="864"/>
          </w:tcPr>
          <w:p>
            <w:r>
              <w:rPr>
                <w:color w:val="1A2D44"/>
                <w:sz w:val="20"/>
              </w:rPr>
              <w:t>7.43</w:t>
            </w:r>
          </w:p>
        </w:tc>
        <w:tc>
          <w:tcPr>
            <w:tcW w:type="dxa" w:w="864"/>
          </w:tcPr>
          <w:p>
            <w:r>
              <w:rPr>
                <w:color w:val="1A2D44"/>
                <w:sz w:val="20"/>
              </w:rPr>
              <w:t>9.08</w:t>
            </w:r>
          </w:p>
        </w:tc>
        <w:tc>
          <w:tcPr>
            <w:tcW w:type="dxa" w:w="864"/>
          </w:tcPr>
          <w:p>
            <w:r>
              <w:rPr>
                <w:color w:val="1A2D44"/>
                <w:sz w:val="20"/>
              </w:rPr>
              <w:t>S1.02, S1.03</w:t>
            </w:r>
          </w:p>
        </w:tc>
        <w:tc>
          <w:tcPr>
            <w:tcW w:type="dxa" w:w="864"/>
          </w:tcPr>
          <w:p>
            <w:r>
              <w:rPr>
                <w:color w:val="1A2D44"/>
                <w:sz w:val="20"/>
              </w:rPr>
              <w:t>HSS6x4x1/4, 3 floors</w:t>
            </w:r>
          </w:p>
        </w:tc>
      </w:tr>
      <w:tr>
        <w:tc>
          <w:tcPr>
            <w:tcW w:type="dxa" w:w="864"/>
          </w:tcPr>
          <w:p>
            <w:r>
              <w:rPr>
                <w:color w:val="1A2D44"/>
                <w:sz w:val="20"/>
              </w:rPr>
              <w:t>Beams</w:t>
            </w:r>
          </w:p>
        </w:tc>
        <w:tc>
          <w:tcPr>
            <w:tcW w:type="dxa" w:w="864"/>
          </w:tcPr>
          <w:p>
            <w:r>
              <w:rPr>
                <w:color w:val="1A2D44"/>
                <w:sz w:val="20"/>
              </w:rPr>
              <w:t>Simple (&lt;30 ft)</w:t>
            </w:r>
          </w:p>
        </w:tc>
        <w:tc>
          <w:tcPr>
            <w:tcW w:type="dxa" w:w="864"/>
          </w:tcPr>
          <w:p>
            <w:r>
              <w:rPr>
                <w:color w:val="1A2D44"/>
                <w:sz w:val="20"/>
              </w:rPr>
              <w:t>Est. 4</w:t>
            </w:r>
          </w:p>
        </w:tc>
        <w:tc>
          <w:tcPr>
            <w:tcW w:type="dxa" w:w="864"/>
          </w:tcPr>
          <w:p>
            <w:r>
              <w:rPr>
                <w:color w:val="1A2D44"/>
                <w:sz w:val="20"/>
              </w:rPr>
              <w:t>2.50</w:t>
            </w:r>
          </w:p>
        </w:tc>
        <w:tc>
          <w:tcPr>
            <w:tcW w:type="dxa" w:w="864"/>
          </w:tcPr>
          <w:p>
            <w:r>
              <w:rPr>
                <w:color w:val="1A2D44"/>
                <w:sz w:val="20"/>
              </w:rPr>
              <w:t>HSS (x1.10)</w:t>
            </w:r>
          </w:p>
        </w:tc>
        <w:tc>
          <w:tcPr>
            <w:tcW w:type="dxa" w:w="864"/>
          </w:tcPr>
          <w:p>
            <w:r>
              <w:rPr>
                <w:color w:val="1A2D44"/>
                <w:sz w:val="20"/>
              </w:rPr>
              <w:t>2.75</w:t>
            </w:r>
          </w:p>
        </w:tc>
        <w:tc>
          <w:tcPr>
            <w:tcW w:type="dxa" w:w="864"/>
          </w:tcPr>
          <w:p>
            <w:r>
              <w:rPr>
                <w:color w:val="1A2D44"/>
                <w:sz w:val="20"/>
              </w:rPr>
              <w:t>9.90</w:t>
            </w:r>
          </w:p>
        </w:tc>
        <w:tc>
          <w:tcPr>
            <w:tcW w:type="dxa" w:w="864"/>
          </w:tcPr>
          <w:p>
            <w:r>
              <w:rPr>
                <w:color w:val="1A2D44"/>
                <w:sz w:val="20"/>
              </w:rPr>
              <w:t>12.10</w:t>
            </w:r>
          </w:p>
        </w:tc>
        <w:tc>
          <w:tcPr>
            <w:tcW w:type="dxa" w:w="864"/>
          </w:tcPr>
          <w:p>
            <w:r>
              <w:rPr>
                <w:color w:val="1A2D44"/>
                <w:sz w:val="20"/>
              </w:rPr>
              <w:t>S3.06</w:t>
            </w:r>
          </w:p>
        </w:tc>
        <w:tc>
          <w:tcPr>
            <w:tcW w:type="dxa" w:w="864"/>
          </w:tcPr>
          <w:p>
            <w:r>
              <w:rPr>
                <w:color w:val="1A2D44"/>
                <w:sz w:val="20"/>
              </w:rPr>
              <w:t>Trellis Beams, Qty Est.</w:t>
            </w:r>
          </w:p>
        </w:tc>
      </w:tr>
      <w:tr>
        <w:tc>
          <w:tcPr>
            <w:tcW w:type="dxa" w:w="864"/>
          </w:tcPr>
          <w:p>
            <w:r>
              <w:rPr>
                <w:color w:val="1A2D44"/>
                <w:sz w:val="20"/>
              </w:rPr>
              <w:t>Misc Steel</w:t>
            </w:r>
          </w:p>
        </w:tc>
        <w:tc>
          <w:tcPr>
            <w:tcW w:type="dxa" w:w="864"/>
          </w:tcPr>
          <w:p>
            <w:r>
              <w:rPr>
                <w:color w:val="1A2D44"/>
                <w:sz w:val="20"/>
              </w:rPr>
              <w:t>Plate/embed</w:t>
            </w:r>
          </w:p>
        </w:tc>
        <w:tc>
          <w:tcPr>
            <w:tcW w:type="dxa" w:w="864"/>
          </w:tcPr>
          <w:p>
            <w:r>
              <w:rPr>
                <w:color w:val="1A2D44"/>
                <w:sz w:val="20"/>
              </w:rPr>
              <w:t>Est. 10</w:t>
            </w:r>
          </w:p>
        </w:tc>
        <w:tc>
          <w:tcPr>
            <w:tcW w:type="dxa" w:w="864"/>
          </w:tcPr>
          <w:p>
            <w:r>
              <w:rPr>
                <w:color w:val="1A2D44"/>
                <w:sz w:val="20"/>
              </w:rPr>
              <w:t>0.75</w:t>
            </w:r>
          </w:p>
        </w:tc>
        <w:tc>
          <w:tcPr>
            <w:tcW w:type="dxa" w:w="864"/>
          </w:tcPr>
          <w:p>
            <w:r>
              <w:rPr>
                <w:color w:val="1A2D44"/>
                <w:sz w:val="20"/>
              </w:rPr>
              <w:t>CMU (x1.30), Galv (x1.15) = x1.50</w:t>
            </w:r>
          </w:p>
        </w:tc>
        <w:tc>
          <w:tcPr>
            <w:tcW w:type="dxa" w:w="864"/>
          </w:tcPr>
          <w:p>
            <w:r>
              <w:rPr>
                <w:color w:val="1A2D44"/>
                <w:sz w:val="20"/>
              </w:rPr>
              <w:t>1.13</w:t>
            </w:r>
          </w:p>
        </w:tc>
        <w:tc>
          <w:tcPr>
            <w:tcW w:type="dxa" w:w="864"/>
          </w:tcPr>
          <w:p>
            <w:r>
              <w:rPr>
                <w:color w:val="1A2D44"/>
                <w:sz w:val="20"/>
              </w:rPr>
              <w:t>10.17</w:t>
            </w:r>
          </w:p>
        </w:tc>
        <w:tc>
          <w:tcPr>
            <w:tcW w:type="dxa" w:w="864"/>
          </w:tcPr>
          <w:p>
            <w:r>
              <w:rPr>
                <w:color w:val="1A2D44"/>
                <w:sz w:val="20"/>
              </w:rPr>
              <w:t>12.43</w:t>
            </w:r>
          </w:p>
        </w:tc>
        <w:tc>
          <w:tcPr>
            <w:tcW w:type="dxa" w:w="864"/>
          </w:tcPr>
          <w:p>
            <w:r>
              <w:rPr>
                <w:color w:val="1A2D44"/>
                <w:sz w:val="20"/>
              </w:rPr>
              <w:t>S0.02</w:t>
            </w:r>
          </w:p>
        </w:tc>
        <w:tc>
          <w:tcPr>
            <w:tcW w:type="dxa" w:w="864"/>
          </w:tcPr>
          <w:p>
            <w:r>
              <w:rPr>
                <w:color w:val="1A2D44"/>
                <w:sz w:val="20"/>
              </w:rPr>
              <w:t>Lintel L1, Qty Est.</w:t>
            </w:r>
          </w:p>
        </w:tc>
      </w:tr>
      <w:tr>
        <w:tc>
          <w:tcPr>
            <w:tcW w:type="dxa" w:w="864"/>
          </w:tcPr>
          <w:p>
            <w:r>
              <w:rPr>
                <w:color w:val="1A2D44"/>
                <w:sz w:val="20"/>
              </w:rPr>
              <w:t>Misc Steel</w:t>
            </w:r>
          </w:p>
        </w:tc>
        <w:tc>
          <w:tcPr>
            <w:tcW w:type="dxa" w:w="864"/>
          </w:tcPr>
          <w:p>
            <w:r>
              <w:rPr>
                <w:color w:val="1A2D44"/>
                <w:sz w:val="20"/>
              </w:rPr>
              <w:t>Plate/embed</w:t>
            </w:r>
          </w:p>
        </w:tc>
        <w:tc>
          <w:tcPr>
            <w:tcW w:type="dxa" w:w="864"/>
          </w:tcPr>
          <w:p>
            <w:r>
              <w:rPr>
                <w:color w:val="1A2D44"/>
                <w:sz w:val="20"/>
              </w:rPr>
              <w:t>Est. 5</w:t>
            </w:r>
          </w:p>
        </w:tc>
        <w:tc>
          <w:tcPr>
            <w:tcW w:type="dxa" w:w="864"/>
          </w:tcPr>
          <w:p>
            <w:r>
              <w:rPr>
                <w:color w:val="1A2D44"/>
                <w:sz w:val="20"/>
              </w:rPr>
              <w:t>0.75</w:t>
            </w:r>
          </w:p>
        </w:tc>
        <w:tc>
          <w:tcPr>
            <w:tcW w:type="dxa" w:w="864"/>
          </w:tcPr>
          <w:p>
            <w:r>
              <w:rPr>
                <w:color w:val="1A2D44"/>
                <w:sz w:val="20"/>
              </w:rPr>
              <w:t>CMU (x1.30), Galv (x1.15) = x1.50</w:t>
            </w:r>
          </w:p>
        </w:tc>
        <w:tc>
          <w:tcPr>
            <w:tcW w:type="dxa" w:w="864"/>
          </w:tcPr>
          <w:p>
            <w:r>
              <w:rPr>
                <w:color w:val="1A2D44"/>
                <w:sz w:val="20"/>
              </w:rPr>
              <w:t>1.13</w:t>
            </w:r>
          </w:p>
        </w:tc>
        <w:tc>
          <w:tcPr>
            <w:tcW w:type="dxa" w:w="864"/>
          </w:tcPr>
          <w:p>
            <w:r>
              <w:rPr>
                <w:color w:val="1A2D44"/>
                <w:sz w:val="20"/>
              </w:rPr>
              <w:t>5.09</w:t>
            </w:r>
          </w:p>
        </w:tc>
        <w:tc>
          <w:tcPr>
            <w:tcW w:type="dxa" w:w="864"/>
          </w:tcPr>
          <w:p>
            <w:r>
              <w:rPr>
                <w:color w:val="1A2D44"/>
                <w:sz w:val="20"/>
              </w:rPr>
              <w:t>6.22</w:t>
            </w:r>
          </w:p>
        </w:tc>
        <w:tc>
          <w:tcPr>
            <w:tcW w:type="dxa" w:w="864"/>
          </w:tcPr>
          <w:p>
            <w:r>
              <w:rPr>
                <w:color w:val="1A2D44"/>
                <w:sz w:val="20"/>
              </w:rPr>
              <w:t>S0.02</w:t>
            </w:r>
          </w:p>
        </w:tc>
        <w:tc>
          <w:tcPr>
            <w:tcW w:type="dxa" w:w="864"/>
          </w:tcPr>
          <w:p>
            <w:r>
              <w:rPr>
                <w:color w:val="1A2D44"/>
                <w:sz w:val="20"/>
              </w:rPr>
              <w:t>Lintel L2, Qty Est.</w:t>
            </w:r>
          </w:p>
        </w:tc>
      </w:tr>
      <w:tr>
        <w:tc>
          <w:tcPr>
            <w:tcW w:type="dxa" w:w="864"/>
          </w:tcPr>
          <w:p>
            <w:r>
              <w:rPr>
                <w:color w:val="1A2D44"/>
                <w:sz w:val="20"/>
              </w:rPr>
              <w:t>Misc Steel</w:t>
            </w:r>
          </w:p>
        </w:tc>
        <w:tc>
          <w:tcPr>
            <w:tcW w:type="dxa" w:w="864"/>
          </w:tcPr>
          <w:p>
            <w:r>
              <w:rPr>
                <w:color w:val="1A2D44"/>
                <w:sz w:val="20"/>
              </w:rPr>
              <w:t>Angle clip</w:t>
            </w:r>
          </w:p>
        </w:tc>
        <w:tc>
          <w:tcPr>
            <w:tcW w:type="dxa" w:w="864"/>
          </w:tcPr>
          <w:p>
            <w:r>
              <w:rPr>
                <w:color w:val="1A2D44"/>
                <w:sz w:val="20"/>
              </w:rPr>
              <w:t>Est. 50</w:t>
            </w:r>
          </w:p>
        </w:tc>
        <w:tc>
          <w:tcPr>
            <w:tcW w:type="dxa" w:w="864"/>
          </w:tcPr>
          <w:p>
            <w:r>
              <w:rPr>
                <w:color w:val="1A2D44"/>
                <w:sz w:val="20"/>
              </w:rPr>
              <w:t>0.25</w:t>
            </w:r>
          </w:p>
        </w:tc>
        <w:tc>
          <w:tcPr>
            <w:tcW w:type="dxa" w:w="864"/>
          </w:tcPr>
          <w:p>
            <w:r>
              <w:rPr>
                <w:color w:val="1A2D44"/>
                <w:sz w:val="20"/>
              </w:rPr>
              <w:t>CMU (x1.30), Galv (x1.15) = x1.50</w:t>
            </w:r>
          </w:p>
        </w:tc>
        <w:tc>
          <w:tcPr>
            <w:tcW w:type="dxa" w:w="864"/>
          </w:tcPr>
          <w:p>
            <w:r>
              <w:rPr>
                <w:color w:val="1A2D44"/>
                <w:sz w:val="20"/>
              </w:rPr>
              <w:t>0.38</w:t>
            </w:r>
          </w:p>
        </w:tc>
        <w:tc>
          <w:tcPr>
            <w:tcW w:type="dxa" w:w="864"/>
          </w:tcPr>
          <w:p>
            <w:r>
              <w:rPr>
                <w:color w:val="1A2D44"/>
                <w:sz w:val="20"/>
              </w:rPr>
              <w:t>17.10</w:t>
            </w:r>
          </w:p>
        </w:tc>
        <w:tc>
          <w:tcPr>
            <w:tcW w:type="dxa" w:w="864"/>
          </w:tcPr>
          <w:p>
            <w:r>
              <w:rPr>
                <w:color w:val="1A2D44"/>
                <w:sz w:val="20"/>
              </w:rPr>
              <w:t>20.90</w:t>
            </w:r>
          </w:p>
        </w:tc>
        <w:tc>
          <w:tcPr>
            <w:tcW w:type="dxa" w:w="864"/>
          </w:tcPr>
          <w:p>
            <w:r>
              <w:rPr>
                <w:color w:val="1A2D44"/>
                <w:sz w:val="20"/>
              </w:rPr>
              <w:t>S0.02</w:t>
            </w:r>
          </w:p>
        </w:tc>
        <w:tc>
          <w:tcPr>
            <w:tcW w:type="dxa" w:w="864"/>
          </w:tcPr>
          <w:p>
            <w:r>
              <w:rPr>
                <w:color w:val="1A2D44"/>
                <w:sz w:val="20"/>
              </w:rPr>
              <w:t>Loose Angle Lintels, Qty Est.</w:t>
            </w:r>
          </w:p>
        </w:tc>
      </w:tr>
      <w:tr>
        <w:tc>
          <w:tcPr>
            <w:tcW w:type="dxa" w:w="864"/>
          </w:tcPr>
          <w:p>
            <w:r>
              <w:rPr>
                <w:color w:val="1A2D44"/>
                <w:sz w:val="20"/>
              </w:rPr>
              <w:t>Misc Steel</w:t>
            </w:r>
          </w:p>
        </w:tc>
        <w:tc>
          <w:tcPr>
            <w:tcW w:type="dxa" w:w="864"/>
          </w:tcPr>
          <w:p>
            <w:r>
              <w:rPr>
                <w:color w:val="1A2D44"/>
                <w:sz w:val="20"/>
              </w:rPr>
              <w:t>Plate/embed</w:t>
            </w:r>
          </w:p>
        </w:tc>
        <w:tc>
          <w:tcPr>
            <w:tcW w:type="dxa" w:w="864"/>
          </w:tcPr>
          <w:p>
            <w:r>
              <w:rPr>
                <w:color w:val="1A2D44"/>
                <w:sz w:val="20"/>
              </w:rPr>
              <w:t>Est. 150</w:t>
            </w:r>
          </w:p>
        </w:tc>
        <w:tc>
          <w:tcPr>
            <w:tcW w:type="dxa" w:w="864"/>
          </w:tcPr>
          <w:p>
            <w:r>
              <w:rPr>
                <w:color w:val="1A2D44"/>
                <w:sz w:val="20"/>
              </w:rPr>
              <w:t>0.75</w:t>
            </w:r>
          </w:p>
        </w:tc>
        <w:tc>
          <w:tcPr>
            <w:tcW w:type="dxa" w:w="864"/>
          </w:tcPr>
          <w:p>
            <w:r>
              <w:rPr>
                <w:color w:val="1A2D44"/>
                <w:sz w:val="20"/>
              </w:rPr>
              <w:t>CMU (x1.30), Galv (x1.15) = x1.50</w:t>
            </w:r>
          </w:p>
        </w:tc>
        <w:tc>
          <w:tcPr>
            <w:tcW w:type="dxa" w:w="864"/>
          </w:tcPr>
          <w:p>
            <w:r>
              <w:rPr>
                <w:color w:val="1A2D44"/>
                <w:sz w:val="20"/>
              </w:rPr>
              <w:t>1.13</w:t>
            </w:r>
          </w:p>
        </w:tc>
        <w:tc>
          <w:tcPr>
            <w:tcW w:type="dxa" w:w="864"/>
          </w:tcPr>
          <w:p>
            <w:r>
              <w:rPr>
                <w:color w:val="1A2D44"/>
                <w:sz w:val="20"/>
              </w:rPr>
              <w:t>152.55</w:t>
            </w:r>
          </w:p>
        </w:tc>
        <w:tc>
          <w:tcPr>
            <w:tcW w:type="dxa" w:w="864"/>
          </w:tcPr>
          <w:p>
            <w:r>
              <w:rPr>
                <w:color w:val="1A2D44"/>
                <w:sz w:val="20"/>
              </w:rPr>
              <w:t>186.45</w:t>
            </w:r>
          </w:p>
        </w:tc>
        <w:tc>
          <w:tcPr>
            <w:tcW w:type="dxa" w:w="864"/>
          </w:tcPr>
          <w:p>
            <w:r>
              <w:rPr>
                <w:color w:val="1A2D44"/>
                <w:sz w:val="20"/>
              </w:rPr>
              <w:t>S0.02</w:t>
            </w:r>
          </w:p>
        </w:tc>
        <w:tc>
          <w:tcPr>
            <w:tcW w:type="dxa" w:w="864"/>
          </w:tcPr>
          <w:p>
            <w:r>
              <w:rPr>
                <w:color w:val="1A2D44"/>
                <w:sz w:val="20"/>
              </w:rPr>
              <w:t>Bearing Plates, Qty Est.</w:t>
            </w:r>
          </w:p>
        </w:tc>
      </w:tr>
      <w:tr>
        <w:tc>
          <w:tcPr>
            <w:tcW w:type="dxa" w:w="864"/>
          </w:tcPr>
          <w:p>
            <w:r>
              <w:rPr>
                <w:color w:val="1A2D44"/>
                <w:sz w:val="20"/>
              </w:rPr>
              <w:t>SUBTOTAL</w:t>
            </w:r>
          </w:p>
        </w:tc>
        <w:tc>
          <w:tcPr>
            <w:tcW w:type="dxa" w:w="864"/>
          </w:tcPr>
          <w:p>
            <w:r>
              <w:rPr>
                <w:color w:val="1A2D44"/>
                <w:sz w:val="20"/>
              </w:rPr>
            </w:r>
          </w:p>
        </w:tc>
        <w:tc>
          <w:tcPr>
            <w:tcW w:type="dxa" w:w="864"/>
          </w:tcPr>
          <w:p>
            <w:r>
              <w:rPr>
                <w:color w:val="1A2D44"/>
                <w:sz w:val="20"/>
              </w:rPr>
              <w:t>424</w:t>
            </w:r>
          </w:p>
        </w:tc>
        <w:tc>
          <w:tcPr>
            <w:tcW w:type="dxa" w:w="864"/>
          </w:tcPr>
          <w:p>
            <w:r>
              <w:rPr>
                <w:color w:val="1A2D44"/>
                <w:sz w:val="20"/>
              </w:rPr>
            </w:r>
          </w:p>
        </w:tc>
        <w:tc>
          <w:tcPr>
            <w:tcW w:type="dxa" w:w="864"/>
          </w:tcPr>
          <w:p>
            <w:r>
              <w:rPr>
                <w:color w:val="1A2D44"/>
                <w:sz w:val="20"/>
              </w:rPr>
            </w:r>
          </w:p>
        </w:tc>
        <w:tc>
          <w:tcPr>
            <w:tcW w:type="dxa" w:w="864"/>
          </w:tcPr>
          <w:p>
            <w:r>
              <w:rPr>
                <w:color w:val="1A2D44"/>
                <w:sz w:val="20"/>
              </w:rPr>
            </w:r>
          </w:p>
        </w:tc>
        <w:tc>
          <w:tcPr>
            <w:tcW w:type="dxa" w:w="864"/>
          </w:tcPr>
          <w:p>
            <w:r>
              <w:rPr>
                <w:color w:val="1A2D44"/>
                <w:sz w:val="20"/>
              </w:rPr>
              <w:t>631.46</w:t>
            </w:r>
          </w:p>
        </w:tc>
        <w:tc>
          <w:tcPr>
            <w:tcW w:type="dxa" w:w="864"/>
          </w:tcPr>
          <w:p>
            <w:r>
              <w:rPr>
                <w:color w:val="1A2D44"/>
                <w:sz w:val="20"/>
              </w:rPr>
              <w:t>771.81</w:t>
            </w:r>
          </w:p>
        </w:tc>
        <w:tc>
          <w:tcPr>
            <w:tcW w:type="dxa" w:w="864"/>
          </w:tcPr>
          <w:p>
            <w:r>
              <w:rPr>
                <w:color w:val="1A2D44"/>
                <w:sz w:val="20"/>
              </w:rPr>
            </w:r>
          </w:p>
        </w:tc>
        <w:tc>
          <w:tcPr>
            <w:tcW w:type="dxa" w:w="864"/>
          </w:tcPr>
          <w:p>
            <w:r>
              <w:rPr>
                <w:color w:val="1A2D44"/>
                <w:sz w:val="20"/>
              </w:rPr>
            </w:r>
          </w:p>
        </w:tc>
      </w:tr>
    </w:tbl>
    <w:p/>
    <w:p>
      <w:r>
        <w:t>---</w:t>
      </w:r>
    </w:p>
    <w:p>
      <w:pPr>
        <w:pStyle w:val="Heading2"/>
      </w:pPr>
      <w:r>
        <w:rPr>
          <w:color w:val="0D2240"/>
        </w:rPr>
        <w:t>4. HOURS BY TASK CATEGORY</w:t>
      </w:r>
    </w:p>
    <w:tbl>
      <w:tblPr>
        <w:tblW w:type="auto" w:w="0"/>
        <w:tblLook w:firstColumn="1" w:firstRow="1" w:lastColumn="0" w:lastRow="0" w:noHBand="0" w:noVBand="1" w:val="04A0"/>
      </w:tblPr>
      <w:tblGrid>
        <w:gridCol w:w="1728"/>
        <w:gridCol w:w="1728"/>
        <w:gridCol w:w="1728"/>
        <w:gridCol w:w="1728"/>
        <w:gridCol w:w="1728"/>
      </w:tblGrid>
      <w:tr>
        <w:tc>
          <w:tcPr>
            <w:tcW w:type="dxa" w:w="1728"/>
            <w:shd w:val="clear" w:color="auto" w:fill="0D2240"/>
          </w:tcPr>
          <w:p>
            <w:r>
              <w:rPr>
                <w:b/>
                <w:color w:val="FFFFFF"/>
                <w:sz w:val="20"/>
              </w:rPr>
              <w:t>Task Category</w:t>
            </w:r>
          </w:p>
        </w:tc>
        <w:tc>
          <w:tcPr>
            <w:tcW w:type="dxa" w:w="1728"/>
            <w:shd w:val="clear" w:color="auto" w:fill="0D2240"/>
          </w:tcPr>
          <w:p>
            <w:r>
              <w:rPr>
                <w:b/>
                <w:color w:val="FFFFFF"/>
                <w:sz w:val="20"/>
              </w:rPr>
              <w:t>Est Hrs (Low)</w:t>
            </w:r>
          </w:p>
        </w:tc>
        <w:tc>
          <w:tcPr>
            <w:tcW w:type="dxa" w:w="1728"/>
            <w:shd w:val="clear" w:color="auto" w:fill="0D2240"/>
          </w:tcPr>
          <w:p>
            <w:r>
              <w:rPr>
                <w:b/>
                <w:color w:val="FFFFFF"/>
                <w:sz w:val="20"/>
              </w:rPr>
              <w:t>Est Hrs (High)</w:t>
            </w:r>
          </w:p>
        </w:tc>
        <w:tc>
          <w:tcPr>
            <w:tcW w:type="dxa" w:w="1728"/>
            <w:shd w:val="clear" w:color="auto" w:fill="0D2240"/>
          </w:tcPr>
          <w:p>
            <w:r>
              <w:rPr>
                <w:b/>
                <w:color w:val="FFFFFF"/>
                <w:sz w:val="20"/>
              </w:rPr>
              <w:t>% of Total</w:t>
            </w:r>
          </w:p>
        </w:tc>
        <w:tc>
          <w:tcPr>
            <w:tcW w:type="dxa" w:w="1728"/>
            <w:shd w:val="clear" w:color="auto" w:fill="0D2240"/>
          </w:tcPr>
          <w:p>
            <w:r>
              <w:rPr>
                <w:b/>
                <w:color w:val="FFFFFF"/>
                <w:sz w:val="20"/>
              </w:rPr>
              <w:t>Notes</w:t>
            </w:r>
          </w:p>
        </w:tc>
      </w:tr>
      <w:tr>
        <w:tc>
          <w:tcPr>
            <w:tcW w:type="dxa" w:w="1728"/>
          </w:tcPr>
          <w:p>
            <w:r>
              <w:rPr>
                <w:color w:val="1A2D44"/>
                <w:sz w:val="20"/>
              </w:rPr>
              <w:t>Modeling</w:t>
            </w:r>
          </w:p>
        </w:tc>
        <w:tc>
          <w:tcPr>
            <w:tcW w:type="dxa" w:w="1728"/>
          </w:tcPr>
          <w:p>
            <w:r>
              <w:rPr>
                <w:color w:val="1A2D44"/>
                <w:sz w:val="20"/>
              </w:rPr>
              <w:t>126.29</w:t>
            </w:r>
          </w:p>
        </w:tc>
        <w:tc>
          <w:tcPr>
            <w:tcW w:type="dxa" w:w="1728"/>
          </w:tcPr>
          <w:p>
            <w:r>
              <w:rPr>
                <w:color w:val="1A2D44"/>
                <w:sz w:val="20"/>
              </w:rPr>
              <w:t>154.36</w:t>
            </w:r>
          </w:p>
        </w:tc>
        <w:tc>
          <w:tcPr>
            <w:tcW w:type="dxa" w:w="1728"/>
          </w:tcPr>
          <w:p>
            <w:r>
              <w:rPr>
                <w:color w:val="1A2D44"/>
                <w:sz w:val="20"/>
              </w:rPr>
              <w:t>20%</w:t>
            </w:r>
          </w:p>
        </w:tc>
        <w:tc>
          <w:tcPr>
            <w:tcW w:type="dxa" w:w="1728"/>
          </w:tcPr>
          <w:p>
            <w:r>
              <w:rPr>
                <w:color w:val="1A2D44"/>
                <w:sz w:val="20"/>
              </w:rPr>
              <w:t>High repetition increases modeling efficiency.</w:t>
            </w:r>
          </w:p>
        </w:tc>
      </w:tr>
      <w:tr>
        <w:tc>
          <w:tcPr>
            <w:tcW w:type="dxa" w:w="1728"/>
          </w:tcPr>
          <w:p>
            <w:r>
              <w:rPr>
                <w:color w:val="1A2D44"/>
                <w:sz w:val="20"/>
              </w:rPr>
              <w:t>Shop Drawings / Editing</w:t>
            </w:r>
          </w:p>
        </w:tc>
        <w:tc>
          <w:tcPr>
            <w:tcW w:type="dxa" w:w="1728"/>
          </w:tcPr>
          <w:p>
            <w:r>
              <w:rPr>
                <w:color w:val="1A2D44"/>
                <w:sz w:val="20"/>
              </w:rPr>
              <w:t>284.16</w:t>
            </w:r>
          </w:p>
        </w:tc>
        <w:tc>
          <w:tcPr>
            <w:tcW w:type="dxa" w:w="1728"/>
          </w:tcPr>
          <w:p>
            <w:r>
              <w:rPr>
                <w:color w:val="1A2D44"/>
                <w:sz w:val="20"/>
              </w:rPr>
              <w:t>347.31</w:t>
            </w:r>
          </w:p>
        </w:tc>
        <w:tc>
          <w:tcPr>
            <w:tcW w:type="dxa" w:w="1728"/>
          </w:tcPr>
          <w:p>
            <w:r>
              <w:rPr>
                <w:color w:val="1A2D44"/>
                <w:sz w:val="20"/>
              </w:rPr>
              <w:t>45%</w:t>
            </w:r>
          </w:p>
        </w:tc>
        <w:tc>
          <w:tcPr>
            <w:tcW w:type="dxa" w:w="1728"/>
          </w:tcPr>
          <w:p>
            <w:r>
              <w:rPr>
                <w:color w:val="1A2D44"/>
                <w:sz w:val="20"/>
              </w:rPr>
              <w:t>Standard drawing creation for a large number of repetitive pieces.</w:t>
            </w:r>
          </w:p>
        </w:tc>
      </w:tr>
      <w:tr>
        <w:tc>
          <w:tcPr>
            <w:tcW w:type="dxa" w:w="1728"/>
          </w:tcPr>
          <w:p>
            <w:r>
              <w:rPr>
                <w:color w:val="1A2D44"/>
                <w:sz w:val="20"/>
              </w:rPr>
              <w:t>Checking</w:t>
            </w:r>
          </w:p>
        </w:tc>
        <w:tc>
          <w:tcPr>
            <w:tcW w:type="dxa" w:w="1728"/>
          </w:tcPr>
          <w:p>
            <w:r>
              <w:rPr>
                <w:color w:val="1A2D44"/>
                <w:sz w:val="20"/>
              </w:rPr>
              <w:t>94.72</w:t>
            </w:r>
          </w:p>
        </w:tc>
        <w:tc>
          <w:tcPr>
            <w:tcW w:type="dxa" w:w="1728"/>
          </w:tcPr>
          <w:p>
            <w:r>
              <w:rPr>
                <w:color w:val="1A2D44"/>
                <w:sz w:val="20"/>
              </w:rPr>
              <w:t>115.77</w:t>
            </w:r>
          </w:p>
        </w:tc>
        <w:tc>
          <w:tcPr>
            <w:tcW w:type="dxa" w:w="1728"/>
          </w:tcPr>
          <w:p>
            <w:r>
              <w:rPr>
                <w:color w:val="1A2D44"/>
                <w:sz w:val="20"/>
              </w:rPr>
              <w:t>15%</w:t>
            </w:r>
          </w:p>
        </w:tc>
        <w:tc>
          <w:tcPr>
            <w:tcW w:type="dxa" w:w="1728"/>
          </w:tcPr>
          <w:p>
            <w:r>
              <w:rPr>
                <w:color w:val="1A2D44"/>
                <w:sz w:val="20"/>
              </w:rPr>
              <w:t>Standard checking protocol.</w:t>
            </w:r>
          </w:p>
        </w:tc>
      </w:tr>
      <w:tr>
        <w:tc>
          <w:tcPr>
            <w:tcW w:type="dxa" w:w="1728"/>
          </w:tcPr>
          <w:p>
            <w:r>
              <w:rPr>
                <w:color w:val="1A2D44"/>
                <w:sz w:val="20"/>
              </w:rPr>
              <w:t>Erection Drawings</w:t>
            </w:r>
          </w:p>
        </w:tc>
        <w:tc>
          <w:tcPr>
            <w:tcW w:type="dxa" w:w="1728"/>
          </w:tcPr>
          <w:p>
            <w:r>
              <w:rPr>
                <w:color w:val="1A2D44"/>
                <w:sz w:val="20"/>
              </w:rPr>
              <w:t>31.57</w:t>
            </w:r>
          </w:p>
        </w:tc>
        <w:tc>
          <w:tcPr>
            <w:tcW w:type="dxa" w:w="1728"/>
          </w:tcPr>
          <w:p>
            <w:r>
              <w:rPr>
                <w:color w:val="1A2D44"/>
                <w:sz w:val="20"/>
              </w:rPr>
              <w:t>38.59</w:t>
            </w:r>
          </w:p>
        </w:tc>
        <w:tc>
          <w:tcPr>
            <w:tcW w:type="dxa" w:w="1728"/>
          </w:tcPr>
          <w:p>
            <w:r>
              <w:rPr>
                <w:color w:val="1A2D44"/>
                <w:sz w:val="20"/>
              </w:rPr>
              <w:t>5%</w:t>
            </w:r>
          </w:p>
        </w:tc>
        <w:tc>
          <w:tcPr>
            <w:tcW w:type="dxa" w:w="1728"/>
          </w:tcPr>
          <w:p>
            <w:r>
              <w:rPr>
                <w:color w:val="1A2D44"/>
                <w:sz w:val="20"/>
              </w:rPr>
              <w:t>Simplified due to repetitive floor layouts.</w:t>
            </w:r>
          </w:p>
        </w:tc>
      </w:tr>
      <w:tr>
        <w:tc>
          <w:tcPr>
            <w:tcW w:type="dxa" w:w="1728"/>
          </w:tcPr>
          <w:p>
            <w:r>
              <w:rPr>
                <w:color w:val="1A2D44"/>
                <w:sz w:val="20"/>
              </w:rPr>
              <w:t>RFIs / Revisions</w:t>
            </w:r>
          </w:p>
        </w:tc>
        <w:tc>
          <w:tcPr>
            <w:tcW w:type="dxa" w:w="1728"/>
          </w:tcPr>
          <w:p>
            <w:r>
              <w:rPr>
                <w:color w:val="1A2D44"/>
                <w:sz w:val="20"/>
              </w:rPr>
              <w:t>63.15</w:t>
            </w:r>
          </w:p>
        </w:tc>
        <w:tc>
          <w:tcPr>
            <w:tcW w:type="dxa" w:w="1728"/>
          </w:tcPr>
          <w:p>
            <w:r>
              <w:rPr>
                <w:color w:val="1A2D44"/>
                <w:sz w:val="20"/>
              </w:rPr>
              <w:t>77.18</w:t>
            </w:r>
          </w:p>
        </w:tc>
        <w:tc>
          <w:tcPr>
            <w:tcW w:type="dxa" w:w="1728"/>
          </w:tcPr>
          <w:p>
            <w:r>
              <w:rPr>
                <w:color w:val="1A2D44"/>
                <w:sz w:val="20"/>
              </w:rPr>
              <w:t>10%</w:t>
            </w:r>
          </w:p>
        </w:tc>
        <w:tc>
          <w:tcPr>
            <w:tcW w:type="dxa" w:w="1728"/>
          </w:tcPr>
          <w:p>
            <w:r>
              <w:rPr>
                <w:color w:val="1A2D44"/>
                <w:sz w:val="20"/>
              </w:rPr>
              <w:t>Increased allocation due to missing lintel and galvanizing information.</w:t>
            </w:r>
          </w:p>
        </w:tc>
      </w:tr>
      <w:tr>
        <w:tc>
          <w:tcPr>
            <w:tcW w:type="dxa" w:w="1728"/>
          </w:tcPr>
          <w:p>
            <w:r>
              <w:rPr>
                <w:color w:val="1A2D44"/>
                <w:sz w:val="20"/>
              </w:rPr>
              <w:t>PM / Coordination</w:t>
            </w:r>
          </w:p>
        </w:tc>
        <w:tc>
          <w:tcPr>
            <w:tcW w:type="dxa" w:w="1728"/>
          </w:tcPr>
          <w:p>
            <w:r>
              <w:rPr>
                <w:color w:val="1A2D44"/>
                <w:sz w:val="20"/>
              </w:rPr>
              <w:t>31.57</w:t>
            </w:r>
          </w:p>
        </w:tc>
        <w:tc>
          <w:tcPr>
            <w:tcW w:type="dxa" w:w="1728"/>
          </w:tcPr>
          <w:p>
            <w:r>
              <w:rPr>
                <w:color w:val="1A2D44"/>
                <w:sz w:val="20"/>
              </w:rPr>
              <w:t>38.59</w:t>
            </w:r>
          </w:p>
        </w:tc>
        <w:tc>
          <w:tcPr>
            <w:tcW w:type="dxa" w:w="1728"/>
          </w:tcPr>
          <w:p>
            <w:r>
              <w:rPr>
                <w:color w:val="1A2D44"/>
                <w:sz w:val="20"/>
              </w:rPr>
              <w:t>5%</w:t>
            </w:r>
          </w:p>
        </w:tc>
        <w:tc>
          <w:tcPr>
            <w:tcW w:type="dxa" w:w="1728"/>
          </w:tcPr>
          <w:p>
            <w:r>
              <w:rPr>
                <w:color w:val="1A2D44"/>
                <w:sz w:val="20"/>
              </w:rPr>
              <w:t>Standard project management.</w:t>
            </w:r>
          </w:p>
        </w:tc>
      </w:tr>
      <w:tr>
        <w:tc>
          <w:tcPr>
            <w:tcW w:type="dxa" w:w="1728"/>
          </w:tcPr>
          <w:p>
            <w:r>
              <w:rPr>
                <w:color w:val="1A2D44"/>
                <w:sz w:val="20"/>
              </w:rPr>
              <w:t>SUBTOTAL</w:t>
            </w:r>
          </w:p>
        </w:tc>
        <w:tc>
          <w:tcPr>
            <w:tcW w:type="dxa" w:w="1728"/>
          </w:tcPr>
          <w:p>
            <w:r>
              <w:rPr>
                <w:color w:val="1A2D44"/>
                <w:sz w:val="20"/>
              </w:rPr>
              <w:t>631.46</w:t>
            </w:r>
          </w:p>
        </w:tc>
        <w:tc>
          <w:tcPr>
            <w:tcW w:type="dxa" w:w="1728"/>
          </w:tcPr>
          <w:p>
            <w:r>
              <w:rPr>
                <w:color w:val="1A2D44"/>
                <w:sz w:val="20"/>
              </w:rPr>
              <w:t>771.81</w:t>
            </w:r>
          </w:p>
        </w:tc>
        <w:tc>
          <w:tcPr>
            <w:tcW w:type="dxa" w:w="1728"/>
          </w:tcPr>
          <w:p>
            <w:r>
              <w:rPr>
                <w:color w:val="1A2D44"/>
                <w:sz w:val="20"/>
              </w:rPr>
              <w:t>100%</w:t>
            </w:r>
          </w:p>
        </w:tc>
        <w:tc>
          <w:tcPr>
            <w:tcW w:type="dxa" w:w="1728"/>
          </w:tcPr>
          <w:p>
            <w:r>
              <w:rPr>
                <w:color w:val="1A2D44"/>
                <w:sz w:val="20"/>
              </w:rPr>
            </w:r>
          </w:p>
        </w:tc>
      </w:tr>
    </w:tbl>
    <w:p/>
    <w:p>
      <w:r>
        <w:t>---</w:t>
      </w:r>
    </w:p>
    <w:p>
      <w:pPr>
        <w:pStyle w:val="Heading2"/>
      </w:pPr>
      <w:r>
        <w:rPr>
          <w:color w:val="0D2240"/>
        </w:rPr>
        <w:t>5. CONFIDENCE ASSESSMENT</w:t>
      </w:r>
    </w:p>
    <w:p>
      <w:r>
        <w:t>Confidence Level: Low</w:t>
      </w:r>
    </w:p>
    <w:p>
      <w:r>
        <w:t>Checklist (mark each item):   [ ] All member quantities explicitly counted on provided drawings.   [ ] Connection types fully detailed or called out (not assumed throughout).   [x] Material grades and surface finishes specified for all items.   [x] Drawings are recent (IFC or equivalent), internally coordinated and consistent.   [ ] No significant missing, conflicting, or illegible information identified.   [x] All assumptions are reasonable and fully documented.</w:t>
      </w:r>
    </w:p>
    <w:p>
      <w:r>
        <w:t>Criteria met: 3 of 6</w:t>
      </w:r>
    </w:p>
    <w:p>
      <w:r>
        <w:t>Determination rule:   3 or fewer met -&gt; Low</w:t>
      </w:r>
    </w:p>
    <w:p>
      <w:r>
        <w:t>Gaps -- for each unchecked criterion, state:   a) What is missing or assumed.   b) What assumption was made in Section 3 to handle it.   c) Estimated hour impact if the assumption proves wrong.</w:t>
      </w:r>
    </w:p>
    <w:p>
      <w:pPr>
        <w:pStyle w:val="ListBullet"/>
      </w:pPr>
      <w:r>
        <w:t>Gap 1: Member Quantities Not Explicit</w:t>
      </w:r>
    </w:p>
    <w:p>
      <w:pPr>
        <w:pStyle w:val="ListBullet"/>
      </w:pPr>
      <w:r>
        <w:t>a) The quantities for all loose lintels (W-shape and Angle) and bearing plates are not available. The drawings refer to architectural plans which were not provided.</w:t>
      </w:r>
    </w:p>
    <w:p>
      <w:pPr>
        <w:pStyle w:val="ListBullet"/>
      </w:pPr>
      <w:r>
        <w:t>b) Reasonable quantities (10x L1, 5x L2, 50x Angle Lintels, 150x BPs) were estimated based on building size and typical requirements.</w:t>
      </w:r>
    </w:p>
    <w:p>
      <w:pPr>
        <w:pStyle w:val="ListBullet"/>
      </w:pPr>
      <w:r>
        <w:t>c) If the actual count is 50% higher, the estimate would increase by approximately 85-100 hours. An RFI is required to confirm these counts.</w:t>
      </w:r>
    </w:p>
    <w:p>
      <w:pPr>
        <w:pStyle w:val="ListBullet"/>
      </w:pPr>
      <w:r>
        <w:t>Gap 2: Connection Types Not Fully Detailed</w:t>
      </w:r>
    </w:p>
    <w:p>
      <w:pPr>
        <w:pStyle w:val="ListBullet"/>
      </w:pPr>
      <w:r>
        <w:t>a) Most beam-to-column and beam-to-beam connections are shown without a specific detail callout.</w:t>
      </w:r>
    </w:p>
    <w:p>
      <w:pPr>
        <w:pStyle w:val="ListBullet"/>
      </w:pPr>
      <w:r>
        <w:t>b) Connections were assumed to be standard AISC single-plate or clip-angle shear connections, which is typical for this type of construction.</w:t>
      </w:r>
    </w:p>
    <w:p>
      <w:pPr>
        <w:pStyle w:val="ListBullet"/>
      </w:pPr>
      <w:r>
        <w:t>c) If moment frames or other complex, non-standard connections are required, the estimate could increase by 40-60 hours.</w:t>
      </w:r>
    </w:p>
    <w:p>
      <w:pPr>
        <w:pStyle w:val="ListBullet"/>
      </w:pPr>
      <w:r>
        <w:t>Gap 3: Significant Missing Information (Galvanizing Scope)</w:t>
      </w:r>
    </w:p>
    <w:p>
      <w:pPr>
        <w:pStyle w:val="ListBullet"/>
      </w:pPr>
      <w:r>
        <w:t>a) General Note 11 on S0.01 states steel to be galvanized must meet ASTM A123, but does not specify which members receive this finish. Note 1 on the Bearing Plate schedule (S0.02) specifies plates are galvanized. The scope for main members is ambiguous.</w:t>
      </w:r>
    </w:p>
    <w:p>
      <w:pPr>
        <w:pStyle w:val="ListBullet"/>
      </w:pPr>
      <w:r>
        <w:t>b) The assumption was made that only loose members (lintels, bearing plates) are galvanized and main frames are prime-painted.</w:t>
      </w:r>
    </w:p>
    <w:p>
      <w:pPr>
        <w:pStyle w:val="ListBullet"/>
      </w:pPr>
      <w:r>
        <w:t>c) If all structural steel must be hot-dip galvanized, the 15% complexity factor would apply to an additional ~420 hours of base work, adding 70-90 hours to the total.</w:t>
      </w:r>
    </w:p>
    <w:p>
      <w:r>
        <w:t>---</w:t>
      </w:r>
    </w:p>
    <w:p>
      <w:pPr>
        <w:pStyle w:val="Heading2"/>
      </w:pPr>
      <w:r>
        <w:rPr>
          <w:color w:val="0D2240"/>
        </w:rPr>
        <w:t>6. RISK BUFFER AND ADJUSTED HOURS</w:t>
      </w:r>
    </w:p>
    <w:tbl>
      <w:tblPr>
        <w:tblW w:type="auto" w:w="0"/>
        <w:tblLook w:firstColumn="1" w:firstRow="1" w:lastColumn="0" w:lastRow="0" w:noHBand="0" w:noVBand="1" w:val="04A0"/>
      </w:tblPr>
      <w:tblGrid>
        <w:gridCol w:w="2880"/>
        <w:gridCol w:w="2880"/>
        <w:gridCol w:w="2880"/>
      </w:tblGrid>
      <w:tr>
        <w:tc>
          <w:tcPr>
            <w:tcW w:type="dxa" w:w="2880"/>
            <w:shd w:val="clear" w:color="auto" w:fill="0D2240"/>
          </w:tcPr>
          <w:p>
            <w:r>
              <w:rPr>
                <w:b/>
                <w:color w:val="FFFFFF"/>
                <w:sz w:val="20"/>
              </w:rPr>
              <w:t>Row</w:t>
            </w:r>
          </w:p>
        </w:tc>
        <w:tc>
          <w:tcPr>
            <w:tcW w:type="dxa" w:w="2880"/>
            <w:shd w:val="clear" w:color="auto" w:fill="0D2240"/>
          </w:tcPr>
          <w:p>
            <w:r>
              <w:rPr>
                <w:b/>
                <w:color w:val="FFFFFF"/>
                <w:sz w:val="20"/>
              </w:rPr>
              <w:t>Low Hrs</w:t>
            </w:r>
          </w:p>
        </w:tc>
        <w:tc>
          <w:tcPr>
            <w:tcW w:type="dxa" w:w="2880"/>
            <w:shd w:val="clear" w:color="auto" w:fill="0D2240"/>
          </w:tcPr>
          <w:p>
            <w:r>
              <w:rPr>
                <w:b/>
                <w:color w:val="FFFFFF"/>
                <w:sz w:val="20"/>
              </w:rPr>
              <w:t>High Hrs</w:t>
            </w:r>
          </w:p>
        </w:tc>
      </w:tr>
      <w:tr>
        <w:tc>
          <w:tcPr>
            <w:tcW w:type="dxa" w:w="2880"/>
          </w:tcPr>
          <w:p>
            <w:r>
              <w:rPr>
                <w:color w:val="1A2D44"/>
                <w:sz w:val="20"/>
              </w:rPr>
              <w:t>Section 3 Subtotal</w:t>
            </w:r>
          </w:p>
        </w:tc>
        <w:tc>
          <w:tcPr>
            <w:tcW w:type="dxa" w:w="2880"/>
          </w:tcPr>
          <w:p>
            <w:r>
              <w:rPr>
                <w:color w:val="1A2D44"/>
                <w:sz w:val="20"/>
              </w:rPr>
              <w:t>631.46</w:t>
            </w:r>
          </w:p>
        </w:tc>
        <w:tc>
          <w:tcPr>
            <w:tcW w:type="dxa" w:w="2880"/>
          </w:tcPr>
          <w:p>
            <w:r>
              <w:rPr>
                <w:color w:val="1A2D44"/>
                <w:sz w:val="20"/>
              </w:rPr>
              <w:t>771.81</w:t>
            </w:r>
          </w:p>
        </w:tc>
      </w:tr>
      <w:tr>
        <w:tc>
          <w:tcPr>
            <w:tcW w:type="dxa" w:w="2880"/>
          </w:tcPr>
          <w:p>
            <w:r>
              <w:rPr>
                <w:color w:val="1A2D44"/>
                <w:sz w:val="20"/>
              </w:rPr>
              <w:t>Risk Buffer (20%)</w:t>
            </w:r>
          </w:p>
        </w:tc>
        <w:tc>
          <w:tcPr>
            <w:tcW w:type="dxa" w:w="2880"/>
          </w:tcPr>
          <w:p>
            <w:r>
              <w:rPr>
                <w:color w:val="1A2D44"/>
                <w:sz w:val="20"/>
              </w:rPr>
              <w:t>+126.3</w:t>
            </w:r>
          </w:p>
        </w:tc>
        <w:tc>
          <w:tcPr>
            <w:tcW w:type="dxa" w:w="2880"/>
          </w:tcPr>
          <w:p>
            <w:r>
              <w:rPr>
                <w:color w:val="1A2D44"/>
                <w:sz w:val="20"/>
              </w:rPr>
              <w:t>+154.4</w:t>
            </w:r>
          </w:p>
        </w:tc>
      </w:tr>
      <w:tr>
        <w:tc>
          <w:tcPr>
            <w:tcW w:type="dxa" w:w="2880"/>
          </w:tcPr>
          <w:p>
            <w:r>
              <w:rPr>
                <w:color w:val="1A2D44"/>
                <w:sz w:val="20"/>
              </w:rPr>
              <w:t>ADJUSTED TOTAL HOURS</w:t>
            </w:r>
          </w:p>
        </w:tc>
        <w:tc>
          <w:tcPr>
            <w:tcW w:type="dxa" w:w="2880"/>
          </w:tcPr>
          <w:p>
            <w:r>
              <w:rPr>
                <w:color w:val="1A2D44"/>
                <w:sz w:val="20"/>
              </w:rPr>
              <w:t>758</w:t>
            </w:r>
          </w:p>
        </w:tc>
        <w:tc>
          <w:tcPr>
            <w:tcW w:type="dxa" w:w="2880"/>
          </w:tcPr>
          <w:p>
            <w:r>
              <w:rPr>
                <w:color w:val="1A2D44"/>
                <w:sz w:val="20"/>
              </w:rPr>
              <w:t>926</w:t>
            </w:r>
          </w:p>
        </w:tc>
      </w:tr>
    </w:tbl>
    <w:p/>
    <w:p>
      <w:r>
        <w:t>Confirmation: 758 and 926 match the MANIFEST exactly.</w:t>
      </w:r>
    </w:p>
    <w:p>
      <w:r>
        <w:t>---</w:t>
      </w:r>
    </w:p>
    <w:p>
      <w:pPr>
        <w:pStyle w:val="Heading2"/>
      </w:pPr>
      <w:r>
        <w:rPr>
          <w:color w:val="0D2240"/>
        </w:rPr>
        <w:t>7. COST CONVERSION (USD)</w:t>
      </w:r>
    </w:p>
    <w:tbl>
      <w:tblPr>
        <w:tblW w:type="auto" w:w="0"/>
        <w:tblLook w:firstColumn="1" w:firstRow="1" w:lastColumn="0" w:lastRow="0" w:noHBand="0" w:noVBand="1" w:val="04A0"/>
      </w:tblPr>
      <w:tblGrid>
        <w:gridCol w:w="4320"/>
        <w:gridCol w:w="4320"/>
      </w:tblGrid>
      <w:tr>
        <w:tc>
          <w:tcPr>
            <w:tcW w:type="dxa" w:w="4320"/>
            <w:shd w:val="clear" w:color="auto" w:fill="0D2240"/>
          </w:tcPr>
          <w:p>
            <w:r>
              <w:rPr>
                <w:b/>
                <w:color w:val="FFFFFF"/>
                <w:sz w:val="20"/>
              </w:rPr>
              <w:t>Field</w:t>
            </w:r>
          </w:p>
        </w:tc>
        <w:tc>
          <w:tcPr>
            <w:tcW w:type="dxa" w:w="4320"/>
            <w:shd w:val="clear" w:color="auto" w:fill="0D2240"/>
          </w:tcPr>
          <w:p>
            <w:r>
              <w:rPr>
                <w:b/>
                <w:color w:val="FFFFFF"/>
                <w:sz w:val="20"/>
              </w:rPr>
              <w:t>Value</w:t>
            </w:r>
          </w:p>
        </w:tc>
      </w:tr>
      <w:tr>
        <w:tc>
          <w:tcPr>
            <w:tcW w:type="dxa" w:w="4320"/>
          </w:tcPr>
          <w:p>
            <w:r>
              <w:rPr>
                <w:color w:val="1A2D44"/>
                <w:sz w:val="20"/>
              </w:rPr>
              <w:t>Adjusted Hours (Low)</w:t>
            </w:r>
          </w:p>
        </w:tc>
        <w:tc>
          <w:tcPr>
            <w:tcW w:type="dxa" w:w="4320"/>
          </w:tcPr>
          <w:p>
            <w:r>
              <w:rPr>
                <w:color w:val="1A2D44"/>
                <w:sz w:val="20"/>
              </w:rPr>
              <w:t>758 hrs</w:t>
            </w:r>
          </w:p>
        </w:tc>
      </w:tr>
      <w:tr>
        <w:tc>
          <w:tcPr>
            <w:tcW w:type="dxa" w:w="4320"/>
          </w:tcPr>
          <w:p>
            <w:r>
              <w:rPr>
                <w:color w:val="1A2D44"/>
                <w:sz w:val="20"/>
              </w:rPr>
              <w:t>Adjusted Hours (High)</w:t>
            </w:r>
          </w:p>
        </w:tc>
        <w:tc>
          <w:tcPr>
            <w:tcW w:type="dxa" w:w="4320"/>
          </w:tcPr>
          <w:p>
            <w:r>
              <w:rPr>
                <w:color w:val="1A2D44"/>
                <w:sz w:val="20"/>
              </w:rPr>
              <w:t>926 hrs</w:t>
            </w:r>
          </w:p>
        </w:tc>
      </w:tr>
      <w:tr>
        <w:tc>
          <w:tcPr>
            <w:tcW w:type="dxa" w:w="4320"/>
          </w:tcPr>
          <w:p>
            <w:r>
              <w:rPr>
                <w:color w:val="1A2D44"/>
                <w:sz w:val="20"/>
              </w:rPr>
              <w:t>Blended Hourly Rate</w:t>
            </w:r>
          </w:p>
        </w:tc>
        <w:tc>
          <w:tcPr>
            <w:tcW w:type="dxa" w:w="4320"/>
          </w:tcPr>
          <w:p>
            <w:r>
              <w:rPr>
                <w:color w:val="1A2D44"/>
                <w:sz w:val="20"/>
              </w:rPr>
              <w:t>[CONFIDENTIAL]</w:t>
            </w:r>
          </w:p>
        </w:tc>
      </w:tr>
      <w:tr>
        <w:tc>
          <w:tcPr>
            <w:tcW w:type="dxa" w:w="4320"/>
          </w:tcPr>
          <w:p>
            <w:r>
              <w:rPr>
                <w:color w:val="1A2D44"/>
                <w:sz w:val="20"/>
              </w:rPr>
              <w:t>Project Cost -- Low (USD)</w:t>
            </w:r>
          </w:p>
        </w:tc>
        <w:tc>
          <w:tcPr>
            <w:tcW w:type="dxa" w:w="4320"/>
          </w:tcPr>
          <w:p>
            <w:r>
              <w:rPr>
                <w:color w:val="1A2D44"/>
                <w:sz w:val="20"/>
              </w:rPr>
              <w:t>$13,600</w:t>
            </w:r>
          </w:p>
        </w:tc>
      </w:tr>
      <w:tr>
        <w:tc>
          <w:tcPr>
            <w:tcW w:type="dxa" w:w="4320"/>
          </w:tcPr>
          <w:p>
            <w:r>
              <w:rPr>
                <w:color w:val="1A2D44"/>
                <w:sz w:val="20"/>
              </w:rPr>
              <w:t>Project Cost -- High (USD)</w:t>
            </w:r>
          </w:p>
        </w:tc>
        <w:tc>
          <w:tcPr>
            <w:tcW w:type="dxa" w:w="4320"/>
          </w:tcPr>
          <w:p>
            <w:r>
              <w:rPr>
                <w:color w:val="1A2D44"/>
                <w:sz w:val="20"/>
              </w:rPr>
              <w:t>$16,700</w:t>
            </w:r>
          </w:p>
        </w:tc>
      </w:tr>
    </w:tbl>
    <w:p/>
    <w:p>
      <w:r>
        <w:t>---</w:t>
      </w:r>
    </w:p>
    <w:p>
      <w:pPr>
        <w:pStyle w:val="Heading2"/>
      </w:pPr>
      <w:r>
        <w:rPr>
          <w:color w:val="0D2240"/>
        </w:rPr>
        <w:t>8. ASSUMPTIONS AND EXCLUSIONS</w:t>
      </w:r>
    </w:p>
    <w:p>
      <w:r>
        <w:t>Key Assumptions (format: [Item] -- assumed [value] because [reason]):   - Beam Connections -- assumed standard single-plate shear tabs based on AISC typical practice; no moment symbols or complex connection details are shown on the framing plans.   - Lintel Quantities -- assumed quantities for L1, L2, and loose angle lintels because the drawings state to "SEE ARCHITECTURAL DRAWINGS" which were not provided for this estimate.   - Bearing Plate Quantities -- assumed a quantity of 150 plates based on the number of beam ends terminating at CMU walls over three floors; an exact count is not possible without final wall layouts.   - Galvanizing Scope -- assumed to apply only to loose lintels and bearing plates per specific note on S0.02, as a global requirement for all steel was not specified.   - Trellis Steel Quantity -- assumed a quantity of 8 columns and 4 beams for the trellis structures based on typical details and plan indicators; a specific framing plan for the trellis was not provided.</w:t>
      </w:r>
    </w:p>
    <w:p>
      <w:r>
        <w:t>Exclusions (not included in this estimate):   - PE stamping or delegated connection design calculations.   - 3D MEP coordination and clash detection.   - Vendor-furnished items including joists, metal deck, and pre-engineered stairs.   - Detailing for pre-fabricated canopies, noted as "BY OTHERS" on sheet S1.02.   - Detailing for any wood framing components.   - Rebar or concrete reinforcement detailing.</w:t>
      </w:r>
    </w:p>
    <w:p>
      <w:r>
        <w:t>Potential Scope Creep (for PM awareness):   - Design changes to floor framing or column locations during the detailing phase.   - Addition of miscellaneous supports for Owner-Furnished Equipment (OFE) not shown on the current drawing set.   - An RFI confirming the need for all steel to be galvanized would represent a significant scope increase.   - A high volume of RFIs may be required to clarify lintel locations and sizes, potentially impacting the schedule.</w:t>
      </w:r>
    </w:p>
    <w:p>
      <w:r>
        <w:t>---</w:t>
      </w:r>
    </w:p>
    <w:p>
      <w:pPr>
        <w:pStyle w:val="Heading2"/>
      </w:pPr>
      <w:r>
        <w:rPr>
          <w:color w:val="0D2240"/>
        </w:rPr>
        <w:t>10. FINAL RECOMMENDATION AND NEXT STEPS</w:t>
      </w:r>
    </w:p>
    <w:p>
      <w:r>
        <w:t>This estimate is rated Low Confidence and should be used for budgetary purposes only until key information is clarified. The primary risks are the unknown quantities of miscellaneous steel and the undefined scope of galvanizing, which could significantly impact the final hours.</w:t>
      </w:r>
    </w:p>
    <w:p>
      <w:r>
        <w:t>The immediate next step is to issue an RFI to the client requesting the architectural drawings to confirm all lintel quantities, types, and locations. A second RFI should request explicit confirmation of the full scope of steel requiring a galvanized finish. A re-estimate will be required upon receipt of this information; a change of more than 25% in the quantity of miscellaneous steel would be a definite trigger.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