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SUSTAINABILITY REPORT</w:t>
      </w:r>
    </w:p>
    <w:p>
      <w:r>
        <w:t>Project: Quick Analysis</w:t>
      </w:r>
    </w:p>
    <w:p>
      <w:r>
        <w:t>Generated: 2026-04-24T19:21:31.192349+00:00</w:t>
      </w:r>
    </w:p>
    <w:p>
      <w:r>
        <w:t>Model: STRUCTMIND CORE · PRO</w:t>
      </w:r>
    </w:p>
    <w:p>
      <w:r>
        <w:t>SHA-256 Hash: 42a84dd7b5c7f19e1b11d49d36026f14d96a76ba70a24d95c9a2b8f653300b17</w:t>
      </w:r>
    </w:p>
    <w:p/>
    <w:p>
      <w:r>
        <w:t>Of course. Here is the STRUCTMIND AI sustainability report for the specified structural steel package.</w:t>
      </w:r>
    </w:p>
    <w:p>
      <w:r>
        <w:t>---</w:t>
      </w:r>
    </w:p>
    <w:p>
      <w:pPr>
        <w:pStyle w:val="Heading3"/>
      </w:pPr>
      <w:r>
        <w:rPr>
          <w:color w:val="0D2240"/>
        </w:rPr>
        <w:t>Sustainability Report: Structural Steel Package</w:t>
      </w:r>
    </w:p>
    <w:p>
      <w:r>
        <w:t>Prepared by: STRUCTMIND AI Date: October 26, 2023 Subject: 220 tons of Structural Steel, SSPC 3-Coat System, 900-mile Delivery</w:t>
      </w:r>
    </w:p>
    <w:p>
      <w:r>
        <w:t>This report analyzes the environmental and sustainability metrics for the specified structural steel package, providing key data for decision-making and green building certification.</w:t>
      </w:r>
    </w:p>
    <w:tbl>
      <w:tblPr>
        <w:tblStyle w:val="LightGrid-Accent1"/>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Specification</w:t>
            </w:r>
          </w:p>
        </w:tc>
      </w:tr>
      <w:tr>
        <w:tc>
          <w:tcPr>
            <w:tcW w:type="dxa" w:w="4320"/>
          </w:tcPr>
          <w:p>
            <w:r>
              <w:t>Material Quantity</w:t>
            </w:r>
          </w:p>
        </w:tc>
        <w:tc>
          <w:tcPr>
            <w:tcW w:type="dxa" w:w="4320"/>
          </w:tcPr>
          <w:p>
            <w:r>
              <w:t>220 short tons (199.6 metric tonnes)</w:t>
            </w:r>
          </w:p>
        </w:tc>
      </w:tr>
      <w:tr>
        <w:tc>
          <w:tcPr>
            <w:tcW w:type="dxa" w:w="4320"/>
          </w:tcPr>
          <w:p>
            <w:r>
              <w:t>Production Method</w:t>
            </w:r>
          </w:p>
        </w:tc>
        <w:tc>
          <w:tcPr>
            <w:tcW w:type="dxa" w:w="4320"/>
          </w:tcPr>
          <w:p>
            <w:r>
              <w:t>Comparison: Electric Arc Furnace (EAF) vs. Basic Oxygen Furnace (BOF)</w:t>
            </w:r>
          </w:p>
        </w:tc>
      </w:tr>
      <w:tr>
        <w:tc>
          <w:tcPr>
            <w:tcW w:type="dxa" w:w="4320"/>
          </w:tcPr>
          <w:p>
            <w:r>
              <w:t>Coating System</w:t>
            </w:r>
          </w:p>
        </w:tc>
        <w:tc>
          <w:tcPr>
            <w:tcW w:type="dxa" w:w="4320"/>
          </w:tcPr>
          <w:p>
            <w:r>
              <w:t>SSPC SP-10 Near-White Blast, 3-Coat Paint (assumed Zinc/Epoxy/Polyurethane)</w:t>
            </w:r>
          </w:p>
        </w:tc>
      </w:tr>
      <w:tr>
        <w:tc>
          <w:tcPr>
            <w:tcW w:type="dxa" w:w="4320"/>
          </w:tcPr>
          <w:p>
            <w:r>
              <w:t>Transportation</w:t>
            </w:r>
          </w:p>
        </w:tc>
        <w:tc>
          <w:tcPr>
            <w:tcW w:type="dxa" w:w="4320"/>
          </w:tcPr>
          <w:p>
            <w:r>
              <w:t>900 miles via standard diesel freight truck</w:t>
            </w:r>
          </w:p>
        </w:tc>
      </w:tr>
    </w:tbl>
    <w:p/>
    <w:p>
      <w:r>
        <w:t>---</w:t>
      </w:r>
    </w:p>
    <w:p>
      <w:pPr>
        <w:pStyle w:val="Heading3"/>
      </w:pPr>
      <w:r>
        <w:rPr>
          <w:color w:val="0D2240"/>
        </w:rPr>
        <w:t>1. Embodied Carbon Estimate (Cradle-to-Gate: A1-A3)</w:t>
      </w:r>
    </w:p>
    <w:p>
      <w:r>
        <w:t>This estimate covers the carbon emissions from raw material extraction, transport to the mill, and the steel manufacturing process. The production method is the single most significant factor.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Production Method</w:t>
            </w:r>
          </w:p>
        </w:tc>
        <w:tc>
          <w:tcPr>
            <w:tcW w:type="dxa" w:w="2880"/>
          </w:tcPr>
          <w:p>
            <w:r>
              <w:t>Embodied Carbon (per metric tonne)</w:t>
            </w:r>
          </w:p>
        </w:tc>
        <w:tc>
          <w:tcPr>
            <w:tcW w:type="dxa" w:w="2880"/>
          </w:tcPr>
          <w:p>
            <w:r>
              <w:t>Total Embodied Carbon (199.6 tonnes)</w:t>
            </w:r>
          </w:p>
        </w:tc>
      </w:tr>
      <w:tr>
        <w:tc>
          <w:tcPr>
            <w:tcW w:type="dxa" w:w="2880"/>
          </w:tcPr>
          <w:p>
            <w:r>
              <w:t>Electric Arc Furnace (EAF)</w:t>
            </w:r>
          </w:p>
        </w:tc>
        <w:tc>
          <w:tcPr>
            <w:tcW w:type="dxa" w:w="2880"/>
          </w:tcPr>
          <w:p>
            <w:r>
              <w:t>~600 kgCO₂e</w:t>
            </w:r>
          </w:p>
        </w:tc>
        <w:tc>
          <w:tcPr>
            <w:tcW w:type="dxa" w:w="2880"/>
          </w:tcPr>
          <w:p>
            <w:r>
              <w:t>~120 tonnes CO₂e</w:t>
            </w:r>
          </w:p>
        </w:tc>
      </w:tr>
      <w:tr>
        <w:tc>
          <w:tcPr>
            <w:tcW w:type="dxa" w:w="2880"/>
          </w:tcPr>
          <w:p>
            <w:r>
              <w:t>Basic Oxygen Furnace (BOF)</w:t>
            </w:r>
          </w:p>
        </w:tc>
        <w:tc>
          <w:tcPr>
            <w:tcW w:type="dxa" w:w="2880"/>
          </w:tcPr>
          <w:p>
            <w:r>
              <w:t>~2,200 kgCO₂e</w:t>
            </w:r>
          </w:p>
        </w:tc>
        <w:tc>
          <w:tcPr>
            <w:tcW w:type="dxa" w:w="2880"/>
          </w:tcPr>
          <w:p>
            <w:r>
              <w:t>~439 tonnes CO₂e</w:t>
            </w:r>
          </w:p>
        </w:tc>
      </w:tr>
    </w:tbl>
    <w:p/>
    <w:p>
      <w:r>
        <w:t>Analysis &amp; Recommendation: Specifying steel from an EAF mill results in an approximate 73% reduction in embodied carbon, saving ~319 tonnes of CO₂e for this project. EAF production uses electricity to melt scrap steel, while BOF production primarily uses virgin iron ore and metallurgical coal in a blast furnace. For sustainability goals, EAF steel is the clear choice.</w:t>
      </w:r>
    </w:p>
    <w:p>
      <w:r>
        <w:t>---</w:t>
      </w:r>
    </w:p>
    <w:p>
      <w:pPr>
        <w:pStyle w:val="Heading3"/>
      </w:pPr>
      <w:r>
        <w:rPr>
          <w:color w:val="0D2240"/>
        </w:rPr>
        <w:t>2. Recycled Content % Target</w:t>
      </w:r>
    </w:p>
    <w:p>
      <w:r>
        <w:t>Recycled content is directly linked to the production method and is a key metric for circular economy principles.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Production Method</w:t>
            </w:r>
          </w:p>
        </w:tc>
        <w:tc>
          <w:tcPr>
            <w:tcW w:type="dxa" w:w="2880"/>
          </w:tcPr>
          <w:p>
            <w:r>
              <w:t>Typical Recycled Content</w:t>
            </w:r>
          </w:p>
        </w:tc>
        <w:tc>
          <w:tcPr>
            <w:tcW w:type="dxa" w:w="2880"/>
          </w:tcPr>
          <w:p>
            <w:r>
              <w:t>Notes</w:t>
            </w:r>
          </w:p>
        </w:tc>
      </w:tr>
      <w:tr>
        <w:tc>
          <w:tcPr>
            <w:tcW w:type="dxa" w:w="2880"/>
          </w:tcPr>
          <w:p>
            <w:r>
              <w:t>Electric Arc Furnace (EAF)</w:t>
            </w:r>
          </w:p>
        </w:tc>
        <w:tc>
          <w:tcPr>
            <w:tcW w:type="dxa" w:w="2880"/>
          </w:tcPr>
          <w:p>
            <w:r>
              <w:t>&gt;90% (typically 95-98%)</w:t>
            </w:r>
          </w:p>
        </w:tc>
        <w:tc>
          <w:tcPr>
            <w:tcW w:type="dxa" w:w="2880"/>
          </w:tcPr>
          <w:p>
            <w:r>
              <w:t>Primary feedstock is recycled steel scrap. This is the industry standard for structural shapes produced in the US.</w:t>
            </w:r>
          </w:p>
        </w:tc>
      </w:tr>
      <w:tr>
        <w:tc>
          <w:tcPr>
            <w:tcW w:type="dxa" w:w="2880"/>
          </w:tcPr>
          <w:p>
            <w:r>
              <w:t>Basic Oxygen Furnace (BOF)</w:t>
            </w:r>
          </w:p>
        </w:tc>
        <w:tc>
          <w:tcPr>
            <w:tcW w:type="dxa" w:w="2880"/>
          </w:tcPr>
          <w:p>
            <w:r>
              <w:t>25-35%</w:t>
            </w:r>
          </w:p>
        </w:tc>
        <w:tc>
          <w:tcPr>
            <w:tcW w:type="dxa" w:w="2880"/>
          </w:tcPr>
          <w:p>
            <w:r>
              <w:t>Scrap is added as a coolant and to supplement the primary feedstock of molten iron.</w:t>
            </w:r>
          </w:p>
        </w:tc>
      </w:tr>
    </w:tbl>
    <w:p/>
    <w:p>
      <w:r>
        <w:t>Recommendation: To maximize recycled content and support the circular economy, mandate that all structural steel be sourced from EAF mills.</w:t>
      </w:r>
    </w:p>
    <w:p>
      <w:r>
        <w:t>---</w:t>
      </w:r>
    </w:p>
    <w:p>
      <w:pPr>
        <w:pStyle w:val="Heading3"/>
      </w:pPr>
      <w:r>
        <w:rPr>
          <w:color w:val="0D2240"/>
        </w:rPr>
        <w:t>3. Transportation Carbon Estimate (Gate-to-Site: A4)</w:t>
      </w:r>
    </w:p>
    <w:p>
      <w:r>
        <w:t>This covers the emissions from transporting the fabricated steel from the fabrication shop to the project site.</w:t>
      </w:r>
    </w:p>
    <w:p>
      <w:pPr>
        <w:pStyle w:val="ListBullet"/>
      </w:pPr>
      <w:r>
        <w:t>Total Ton-Miles: 220 tons × 900 miles = 198,000 ton-miles</w:t>
      </w:r>
    </w:p>
    <w:p>
      <w:pPr>
        <w:pStyle w:val="ListBullet"/>
      </w:pPr>
      <w:r>
        <w:t>Emission Factor: ~0.165 kg CO₂e per ton-mile (EPA average for a heavy-duty truck)</w:t>
      </w:r>
    </w:p>
    <w:p>
      <w:pPr>
        <w:pStyle w:val="ListBullet"/>
      </w:pPr>
      <w:r>
        <w:t>Total Transportation Carbon: 198,000 ton-miles × 0.165 kg CO₂e/ton-mile = 32,670 kgCO₂e</w:t>
      </w:r>
    </w:p>
    <w:p>
      <w:r>
        <w:t>Total Transportation Carbon: ~32.7 tonnes CO₂e</w:t>
      </w:r>
    </w:p>
    <w:p>
      <w:r>
        <w:t>Mitigation Strategies:</w:t>
      </w:r>
    </w:p>
    <w:p>
      <w:pPr>
        <w:pStyle w:val="ListBullet"/>
      </w:pPr>
      <w:r>
        <w:t>Source steel from a fabricator closer to the project site to reduce travel distance.</w:t>
      </w:r>
    </w:p>
    <w:p>
      <w:pPr>
        <w:pStyle w:val="ListBullet"/>
      </w:pPr>
      <w:r>
        <w:t>Ensure full truck loads to maximize efficiency and avoid unnecessary trips.</w:t>
      </w:r>
    </w:p>
    <w:p>
      <w:r>
        <w:t>---</w:t>
      </w:r>
    </w:p>
    <w:p>
      <w:pPr>
        <w:pStyle w:val="Heading3"/>
      </w:pPr>
      <w:r>
        <w:rPr>
          <w:color w:val="0D2240"/>
        </w:rPr>
        <w:t>4. Coating System: VOCs &amp; Low-Emission Options</w:t>
      </w:r>
    </w:p>
    <w:p>
      <w:r>
        <w:t>A standard SSPC 3-coat system (inorganic zinc primer, epoxy mid-coat, polyurethane topcoat) is effective for corrosion protection but is typically solvent-based and high in Volatile Organic Compounds (VOCs).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Coating Option</w:t>
            </w:r>
          </w:p>
        </w:tc>
        <w:tc>
          <w:tcPr>
            <w:tcW w:type="dxa" w:w="2880"/>
          </w:tcPr>
          <w:p>
            <w:r>
              <w:t>Typical VOC Content (g/L)</w:t>
            </w:r>
          </w:p>
        </w:tc>
        <w:tc>
          <w:tcPr>
            <w:tcW w:type="dxa" w:w="2880"/>
          </w:tcPr>
          <w:p>
            <w:r>
              <w:t>Sustainability Considerations</w:t>
            </w:r>
          </w:p>
        </w:tc>
      </w:tr>
      <w:tr>
        <w:tc>
          <w:tcPr>
            <w:tcW w:type="dxa" w:w="2880"/>
          </w:tcPr>
          <w:p>
            <w:r>
              <w:t>Standard 3-Coat System</w:t>
            </w:r>
          </w:p>
        </w:tc>
        <w:tc>
          <w:tcPr>
            <w:tcW w:type="dxa" w:w="2880"/>
          </w:tcPr>
          <w:p>
            <w:r>
              <w:t>250 - 400</w:t>
            </w:r>
          </w:p>
        </w:tc>
        <w:tc>
          <w:tcPr>
            <w:tcW w:type="dxa" w:w="2880"/>
          </w:tcPr>
          <w:p>
            <w:r>
              <w:t>High VOCs contribute to air pollution and can pose health risks to applicators.</w:t>
            </w:r>
          </w:p>
        </w:tc>
      </w:tr>
      <w:tr>
        <w:tc>
          <w:tcPr>
            <w:tcW w:type="dxa" w:w="2880"/>
          </w:tcPr>
          <w:p>
            <w:r>
              <w:t>Low-VOC Formulations</w:t>
            </w:r>
          </w:p>
        </w:tc>
        <w:tc>
          <w:tcPr>
            <w:tcW w:type="dxa" w:w="2880"/>
          </w:tcPr>
          <w:p>
            <w:r>
              <w:t>&lt; 100</w:t>
            </w:r>
          </w:p>
        </w:tc>
        <w:tc>
          <w:tcPr>
            <w:tcW w:type="dxa" w:w="2880"/>
          </w:tcPr>
          <w:p>
            <w:r>
              <w:t>Reduces air pollutants. Many high-solids epoxy and polyurethane systems meet this threshold.</w:t>
            </w:r>
          </w:p>
        </w:tc>
      </w:tr>
      <w:tr>
        <w:tc>
          <w:tcPr>
            <w:tcW w:type="dxa" w:w="2880"/>
          </w:tcPr>
          <w:p>
            <w:r>
              <w:t>Powder Coating</w:t>
            </w:r>
          </w:p>
        </w:tc>
        <w:tc>
          <w:tcPr>
            <w:tcW w:type="dxa" w:w="2880"/>
          </w:tcPr>
          <w:p>
            <w:r>
              <w:t>~0</w:t>
            </w:r>
          </w:p>
        </w:tc>
        <w:tc>
          <w:tcPr>
            <w:tcW w:type="dxa" w:w="2880"/>
          </w:tcPr>
          <w:p>
            <w:r>
              <w:t>No VOCs, highly durable finish. Best for smaller components due to oven size limitations. Excellent waste reclaimability.</w:t>
            </w:r>
          </w:p>
        </w:tc>
      </w:tr>
      <w:tr>
        <w:tc>
          <w:tcPr>
            <w:tcW w:type="dxa" w:w="2880"/>
          </w:tcPr>
          <w:p>
            <w:r>
              <w:t>Hot-Dip Galvanizing</w:t>
            </w:r>
          </w:p>
        </w:tc>
        <w:tc>
          <w:tcPr>
            <w:tcW w:type="dxa" w:w="2880"/>
          </w:tcPr>
          <w:p>
            <w:r>
              <w:t>~0</w:t>
            </w:r>
          </w:p>
        </w:tc>
        <w:tc>
          <w:tcPr>
            <w:tcW w:type="dxa" w:w="2880"/>
          </w:tcPr>
          <w:p>
            <w:r>
              <w:t>No VOCs from the coating itself. Provides superior, long-term corrosion protection, extending the service life of the steel.</w:t>
            </w:r>
          </w:p>
        </w:tc>
      </w:tr>
    </w:tbl>
    <w:p/>
    <w:p>
      <w:r>
        <w:t>Recommendation: Specify low-VOC or zero-VOC coating systems to meet environmental and health standards. For maximum durability and minimal lifetime maintenance (which has its own carbon footprint), consider hot-dip galvanizing where feasible.</w:t>
      </w:r>
    </w:p>
    <w:p>
      <w:r>
        <w:t>---</w:t>
      </w:r>
    </w:p>
    <w:p>
      <w:pPr>
        <w:pStyle w:val="Heading3"/>
      </w:pPr>
      <w:r>
        <w:rPr>
          <w:color w:val="0D2240"/>
        </w:rPr>
        <w:t>5. Material Efficiency &amp; Waste Factor</w:t>
      </w:r>
    </w:p>
    <w:p>
      <w:r>
        <w:t>During fabrication, waste is generated from cuts, copes, and holes.</w:t>
      </w:r>
    </w:p>
    <w:p>
      <w:pPr>
        <w:pStyle w:val="ListBullet"/>
      </w:pPr>
      <w:r>
        <w:t>Typical Waste Factor: 5-8% for structural steel fabrication.</w:t>
      </w:r>
    </w:p>
    <w:p>
      <w:pPr>
        <w:pStyle w:val="ListBullet"/>
      </w:pPr>
      <w:r>
        <w:t>Estimated Waste (at 6%): 220 tons × 0.06 = 13.2 tons</w:t>
      </w:r>
    </w:p>
    <w:p>
      <w:r>
        <w:t>Circularity Note: A crucial advantage of steel is that this "waste" is not landfilled. The 13.2 tons of scrap are 100% recyclable and are collected and sold back to EAF mills as premium feedstock. This creates a highly effective closed-loop system. Efficiency can be further improved by using Building Information Modeling (BIM) to optimize material nesting and minimize off-cuts.</w:t>
      </w:r>
    </w:p>
    <w:p>
      <w:r>
        <w:t>---</w:t>
      </w:r>
    </w:p>
    <w:p>
      <w:pPr>
        <w:pStyle w:val="Heading3"/>
      </w:pPr>
      <w:r>
        <w:rPr>
          <w:color w:val="0D2240"/>
        </w:rPr>
        <w:t>6. LEED v4.1 Contribution Summary</w:t>
      </w:r>
    </w:p>
    <w:p>
      <w:r>
        <w:t>This steel package can directly contribute to the Building Product Disclosure and Optimization (BPDO) credits under Materials and Resources (MR). The contribution is significantly higher if EAF steel is sourced from a manufacturer with transparent reporting.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LEED Credit Category</w:t>
            </w:r>
          </w:p>
        </w:tc>
        <w:tc>
          <w:tcPr>
            <w:tcW w:type="dxa" w:w="2880"/>
          </w:tcPr>
          <w:p>
            <w:r>
              <w:t>How This Steel Package Contributes</w:t>
            </w:r>
          </w:p>
        </w:tc>
        <w:tc>
          <w:tcPr>
            <w:tcW w:type="dxa" w:w="2880"/>
          </w:tcPr>
          <w:p>
            <w:r>
              <w:t>Action Required</w:t>
            </w:r>
          </w:p>
        </w:tc>
      </w:tr>
      <w:tr>
        <w:tc>
          <w:tcPr>
            <w:tcW w:type="dxa" w:w="2880"/>
          </w:tcPr>
          <w:p>
            <w:r>
              <w:t>MRc: BPDO – Environmental Product Declarations (EPD)</w:t>
            </w:r>
          </w:p>
        </w:tc>
        <w:tc>
          <w:tcPr>
            <w:tcW w:type="dxa" w:w="2880"/>
          </w:tcPr>
          <w:p>
            <w:r>
              <w:t>Option 1: EPD (1 product)&lt;br&gt;Counts as one compliant product towards the 20 required for the credit if a product-specific (Type III) EPD is provided.</w:t>
            </w:r>
          </w:p>
        </w:tc>
        <w:tc>
          <w:tcPr>
            <w:tcW w:type="dxa" w:w="2880"/>
          </w:tcPr>
          <w:p>
            <w:r>
              <w:t>Procure steel from a mill/fabricator that provides a Type III EPD. Most major US EAF mills (e.g., Nucor, SDI) have these available.</w:t>
            </w:r>
          </w:p>
        </w:tc>
      </w:tr>
      <w:tr>
        <w:tc>
          <w:tcPr>
            <w:tcW w:type="dxa" w:w="2880"/>
          </w:tcPr>
          <w:p>
            <w:r>
              <w:t>MRc: BPDO – Sourcing of Raw Materials</w:t>
            </w:r>
          </w:p>
        </w:tc>
        <w:tc>
          <w:tcPr>
            <w:tcW w:type="dxa" w:w="2880"/>
          </w:tcPr>
          <w:p>
            <w:r>
              <w:t>Option 2: Recycled Content (Valued at 100% of cost)&lt;br&gt;The &gt;90% recycled content of EAF steel contributes significantly to the recycled content calculation for this credit.</w:t>
            </w:r>
          </w:p>
        </w:tc>
        <w:tc>
          <w:tcPr>
            <w:tcW w:type="dxa" w:w="2880"/>
          </w:tcPr>
          <w:p>
            <w:r>
              <w:t>Obtain letters from the manufacturer certifying post-consumer and pre-consumer recycled content.</w:t>
            </w:r>
          </w:p>
        </w:tc>
      </w:tr>
      <w:tr>
        <w:tc>
          <w:tcPr>
            <w:tcW w:type="dxa" w:w="2880"/>
          </w:tcPr>
          <w:p>
            <w:r>
              <w:t>MRc: BPDO – Material Ingredients</w:t>
            </w:r>
          </w:p>
        </w:tc>
        <w:tc>
          <w:tcPr>
            <w:tcW w:type="dxa" w:w="2880"/>
          </w:tcPr>
          <w:p>
            <w:r>
              <w:t>Option 1: Material Ingredient Reporting (1 product)&lt;br&gt;Can contribute if the manufacturer provides a report like a Health Product Declaration (HPD) or Cradle to Cradle (C2C) certification.</w:t>
            </w:r>
          </w:p>
        </w:tc>
        <w:tc>
          <w:tcPr>
            <w:tcW w:type="dxa" w:w="2880"/>
          </w:tcPr>
          <w:p>
            <w:r>
              <w:t>Request HPD or C2C documentation from the steel manufacturer and coating supplier.</w:t>
            </w:r>
          </w:p>
        </w:tc>
      </w:tr>
    </w:tbl>
    <w:p/>
    <w:p>
      <w:r>
        <w:t>Summary for LEED: By specifying EAF steel and sourcing it from a major domestic mill, you can easily obtain a product-specific EPD, which will demonstrate a global warming potential (GWP) far below the industry average. This action contributes toward earning points in the BPDO credit categories, making it a valuable and straightforward strategy for LEED certification.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