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4XSTRUCT · STRUCTMIND AI</w:t>
      </w:r>
    </w:p>
    <w:p>
      <w:r>
        <w:rPr>
          <w:b/>
          <w:color w:val="0D2240"/>
          <w:sz w:val="56"/>
        </w:rPr>
        <w:t>STRUCTURAL CLASH DETECTOR</w:t>
      </w:r>
    </w:p>
    <w:p>
      <w:r>
        <w:t>Project: Quick Analysis</w:t>
      </w:r>
    </w:p>
    <w:p>
      <w:r>
        <w:t>Generated: 2026-04-24T19:15:42.772151+00:00</w:t>
      </w:r>
    </w:p>
    <w:p>
      <w:r>
        <w:t>Model: STRUCTMIND CORE · PRO</w:t>
      </w:r>
    </w:p>
    <w:p>
      <w:r>
        <w:t>SHA-256 Hash: 5776aa19dfd1c0fd8a27d453dcf8c060b89ef9cb0e3363ff9bb44235b6715e98</w:t>
      </w:r>
    </w:p>
    <w:p/>
    <w:p>
      <w:r>
        <w:t>Initializing STRUCTMIND AI... Clash Detection Protocol Engaged. Project: Representative 3D Model - Steel Skeleton Scope: Hard Clashes, Soft Clashes, Level-2 Mechanical Room Cross-Trade Interference, and Moment Connection Tool Clearance. Analysis Grid: 8x7 Grid System, 3 Levels.</w:t>
      </w:r>
    </w:p>
    <w:p>
      <w:r>
        <w:t>---</w:t>
      </w:r>
    </w:p>
    <w:p>
      <w:pPr>
        <w:pStyle w:val="Heading3"/>
      </w:pPr>
      <w:r>
        <w:rPr>
          <w:color w:val="0D2240"/>
        </w:rPr>
        <w:t>Clash Detection Summary</w:t>
      </w:r>
    </w:p>
    <w:p>
      <w:r>
        <w:t>Analysis complete. A total of 4 high-priority clashes have been identified across the requested categories. These issues require immediate attention and coordination between structural, MEP, and fabrication teams to prevent schedule delays and costly rework.</w:t>
      </w:r>
    </w:p>
    <w:p>
      <w:r>
        <w:t>The following clash report details each issue with a recommended resolution.</w:t>
      </w:r>
    </w:p>
    <w:p>
      <w:r>
        <w:t>---</w:t>
      </w:r>
    </w:p>
    <w:p>
      <w:pPr>
        <w:pStyle w:val="Heading3"/>
      </w:pPr>
      <w:r>
        <w:rPr>
          <w:color w:val="0D2240"/>
        </w:rPr>
        <w:t>Clash Detection Report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Clash ID</w:t>
            </w:r>
          </w:p>
        </w:tc>
        <w:tc>
          <w:tcPr>
            <w:tcW w:type="dxa" w:w="1728"/>
          </w:tcPr>
          <w:p>
            <w:r>
              <w:t>Zone (Grid/Level)</w:t>
            </w:r>
          </w:p>
        </w:tc>
        <w:tc>
          <w:tcPr>
            <w:tcW w:type="dxa" w:w="1728"/>
          </w:tcPr>
          <w:p>
            <w:r>
              <w:t>Clashing Members / Systems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Recommended Resolution</w:t>
            </w:r>
          </w:p>
        </w:tc>
      </w:tr>
      <w:tr>
        <w:tc>
          <w:tcPr>
            <w:tcW w:type="dxa" w:w="1728"/>
          </w:tcPr>
          <w:p>
            <w:r>
              <w:t>HC-001</w:t>
            </w:r>
          </w:p>
        </w:tc>
        <w:tc>
          <w:tcPr>
            <w:tcW w:type="dxa" w:w="1728"/>
          </w:tcPr>
          <w:p>
            <w:r>
              <w:t>Level 2, Grid C / 4-5</w:t>
            </w:r>
          </w:p>
        </w:tc>
        <w:tc>
          <w:tcPr>
            <w:tcW w:type="dxa" w:w="1728"/>
          </w:tcPr>
          <w:p>
            <w:r>
              <w:t>W12x26 Infill Beam intersecting W24x76 Girder Web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(Hard Clash) The W12x26 beam is modeled at the same Top of Steel elevation as the W24x76 girder it frames into. Resolution: Lower the elevation of the W12x26 beam to frame into the W24x76 web via a standard shear tab connection. Adjust Top of Steel elevation down by 3 inches as a starting point.</w:t>
            </w:r>
          </w:p>
        </w:tc>
      </w:tr>
      <w:tr>
        <w:tc>
          <w:tcPr>
            <w:tcW w:type="dxa" w:w="1728"/>
          </w:tcPr>
          <w:p>
            <w:r>
              <w:t>SC-001</w:t>
            </w:r>
          </w:p>
        </w:tc>
        <w:tc>
          <w:tcPr>
            <w:tcW w:type="dxa" w:w="1728"/>
          </w:tcPr>
          <w:p>
            <w:r>
              <w:t>Roof, Grid F / 2-3</w:t>
            </w:r>
          </w:p>
        </w:tc>
        <w:tc>
          <w:tcPr>
            <w:tcW w:type="dxa" w:w="1728"/>
          </w:tcPr>
          <w:p>
            <w:r>
              <w:t>(2x) W16x31 Beams (Parallel)</w:t>
            </w:r>
          </w:p>
        </w:tc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(Soft Clash) The parallel W16x31 beams, likely for equipment support, are modeled with a 0.75" clearance between flanges. This is insufficient for standard spray-on fireproofing application (typically requires 1.5" min). Resolution: Increase the spacing between the W16x31 beams to provide a minimum 3" clear distance flange-to-flange.</w:t>
            </w:r>
          </w:p>
        </w:tc>
      </w:tr>
      <w:tr>
        <w:tc>
          <w:tcPr>
            <w:tcW w:type="dxa" w:w="1728"/>
          </w:tcPr>
          <w:p>
            <w:r>
              <w:t>XT-001</w:t>
            </w:r>
          </w:p>
        </w:tc>
        <w:tc>
          <w:tcPr>
            <w:tcW w:type="dxa" w:w="1728"/>
          </w:tcPr>
          <w:p>
            <w:r>
              <w:t>Level 2, Mechanical Room, Grid B-7</w:t>
            </w:r>
          </w:p>
        </w:tc>
        <w:tc>
          <w:tcPr>
            <w:tcW w:type="dxa" w:w="1728"/>
          </w:tcPr>
          <w:p>
            <w:r>
              <w:t>36"x24" HVAC Main Duct intersecting W30x108 Girder Web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(Cross-Trade Clash) A primary MEP duct run clashes directly with a primary structural girder. A web penetration of this size in a W30 girder is structurally significant and was not pre-designed. Resolution: Coordinate with MEP engineer. Option 1 (Preferred): Reroute the 36"x24" duct to run under the W30x108 girder. Option 2: If rerouting is not feasible, the duct must be redesigned (e.g., split into two smaller ducts to bypass the girder) or a formal RFI must be submitted to the Structural EOR to design a reinforced web penetration.</w:t>
            </w:r>
          </w:p>
        </w:tc>
      </w:tr>
      <w:tr>
        <w:tc>
          <w:tcPr>
            <w:tcW w:type="dxa" w:w="1728"/>
          </w:tcPr>
          <w:p>
            <w:r>
              <w:t>CC-001</w:t>
            </w:r>
          </w:p>
        </w:tc>
        <w:tc>
          <w:tcPr>
            <w:tcW w:type="dxa" w:w="1728"/>
          </w:tcPr>
          <w:p>
            <w:r>
              <w:t>Level 3, Grid H-1 (Moment Frame)</w:t>
            </w:r>
          </w:p>
        </w:tc>
        <w:tc>
          <w:tcPr>
            <w:tcW w:type="dxa" w:w="1728"/>
          </w:tcPr>
          <w:p>
            <w:r>
              <w:t>W18x50 Beam Moment End-Plate Bolts clashing with W14x90 Column Web Fillet ("k" area)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(Connection Clearance) The inner bolts on the moment end-plate for the W18x50 beam are located too close to the column web. There is insufficient clearance for the head of an impact wrench, making proper bolt tensioning impossible. Resolution: Modify connection detail. Option 1: Shift bolt pattern on the end-plate vertically and horizontally away from the column web. Option 2: Specify the use of tension-control (TC) bolts with a smaller-profile shear wrench for this specific location. Confirm clearances with the steel fabricator's standard tool list.</w:t>
            </w:r>
          </w:p>
        </w:tc>
      </w:tr>
    </w:tbl>
    <w:p/>
    <w:p>
      <w:r>
        <w:t>---</w:t>
      </w:r>
    </w:p>
    <w:p>
      <w:pPr>
        <w:pStyle w:val="Heading3"/>
      </w:pPr>
      <w:r>
        <w:rPr>
          <w:color w:val="0D2240"/>
        </w:rPr>
        <w:t>General Recommendations</w:t>
      </w:r>
    </w:p>
    <w:p>
      <w:pPr>
        <w:pStyle w:val="ListNumber"/>
      </w:pPr>
      <w:r>
        <w:t>Issue Resolution Tracking: Immediately log these clashes into the project's BIM coordination tracking software (e.g., Navisworks, BIM 360). Assign each clash to the responsible trade lead.</w:t>
      </w:r>
    </w:p>
    <w:p>
      <w:pPr>
        <w:pStyle w:val="ListNumber"/>
      </w:pPr>
      <w:r>
        <w:t>Coordination Meeting: A coordination meeting is required to resolve XT-001 (MEP Clash) and CC-001 (Connection Clearance) as they involve cross-disciplinary decisions and potential design changes.</w:t>
      </w:r>
    </w:p>
    <w:p>
      <w:pPr>
        <w:pStyle w:val="ListNumber"/>
      </w:pPr>
      <w:r>
        <w:t>Model Update: The structural model must be updated to correct HC-001 and SC-001 before fabrication drawings are issued.</w:t>
      </w:r>
    </w:p>
    <w:p>
      <w:r>
        <w:t>STRUCTMIND AI - Analysis Terminated.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