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4XSTRUCT · STRUCTMIND AI</w:t>
      </w:r>
    </w:p>
    <w:p>
      <w:r>
        <w:rPr>
          <w:b/>
          <w:color w:val="0D2240"/>
          <w:sz w:val="56"/>
        </w:rPr>
        <w:t>STRUCTURAL CLASH DETECTOR</w:t>
      </w:r>
    </w:p>
    <w:p>
      <w:r>
        <w:t>Project: Quick Analysis</w:t>
      </w:r>
    </w:p>
    <w:p>
      <w:r>
        <w:t>Generated: 2026-04-24T19:11:05.937455+00:00</w:t>
      </w:r>
    </w:p>
    <w:p>
      <w:r>
        <w:t>Model: STRUCTMIND CORE · PRO</w:t>
      </w:r>
    </w:p>
    <w:p>
      <w:r>
        <w:t>SHA-256 Hash: a5cd69373bc731153077d82d416b45c051857c0323d1757484a1c604c5a361f4</w:t>
      </w:r>
    </w:p>
    <w:p/>
    <w:p>
      <w:r>
        <w:t>STRUCTMIND AI: Clash Detection Report Initialized.</w:t>
      </w:r>
    </w:p>
    <w:p>
      <w:r>
        <w:t>Project Scope: 3-Level Steel Skeleton (8x7 Grid) Analysis Requested: Hard, Soft, Cross-Trade (MEP), and Connection Clearance Clashes. Model Status: Federated model received incorporating Structural Steel, MEP, and Architectural components.</w:t>
      </w:r>
    </w:p>
    <w:p>
      <w:r>
        <w:t>---</w:t>
      </w:r>
    </w:p>
    <w:p>
      <w:pPr>
        <w:pStyle w:val="Heading3"/>
      </w:pPr>
      <w:r>
        <w:rPr>
          <w:color w:val="0D2240"/>
        </w:rPr>
        <w:t>Executive Summary</w:t>
      </w:r>
    </w:p>
    <w:p>
      <w:r>
        <w:t>Initial clash detection analysis has been completed on the representative 3D model. A total of 18 clashes were identified, with 4 classified as Critical or High severity, requiring immediate attention from the design and coordination teams. The clashes span all requested categories, including a critical hard clash, a fireproofing clearance violation, a major MEP duct interference in the designated mechanical room, and a constructability issue at a moment connection.</w:t>
      </w:r>
    </w:p>
    <w:p>
      <w:r>
        <w:t>The following table details the highest-priority findings.</w:t>
      </w:r>
    </w:p>
    <w:p>
      <w:r>
        <w:t>---</w:t>
      </w:r>
    </w:p>
    <w:p>
      <w:pPr>
        <w:pStyle w:val="Heading3"/>
      </w:pPr>
      <w:r>
        <w:rPr>
          <w:color w:val="0D2240"/>
        </w:rPr>
        <w:t>Clash Detection Report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Clash ID</w:t>
            </w:r>
          </w:p>
        </w:tc>
        <w:tc>
          <w:tcPr>
            <w:tcW w:type="dxa" w:w="1728"/>
          </w:tcPr>
          <w:p>
            <w:r>
              <w:t>Zone / Location</w:t>
            </w:r>
          </w:p>
        </w:tc>
        <w:tc>
          <w:tcPr>
            <w:tcW w:type="dxa" w:w="1728"/>
          </w:tcPr>
          <w:p>
            <w:r>
              <w:t>Clashing Elements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Recommended Resolution</w:t>
            </w:r>
          </w:p>
        </w:tc>
      </w:tr>
      <w:tr>
        <w:tc>
          <w:tcPr>
            <w:tcW w:type="dxa" w:w="1728"/>
          </w:tcPr>
          <w:p>
            <w:r>
              <w:t>CL-001</w:t>
            </w:r>
          </w:p>
        </w:tc>
        <w:tc>
          <w:tcPr>
            <w:tcW w:type="dxa" w:w="1728"/>
          </w:tcPr>
          <w:p>
            <w:r>
              <w:t>Level 2 @ Grid C-4</w:t>
            </w:r>
          </w:p>
        </w:tc>
        <w:tc>
          <w:tcPr>
            <w:tcW w:type="dxa" w:w="1728"/>
          </w:tcPr>
          <w:p>
            <w:r>
              <w:t>1. W18x50 Beam (Primary Framer)&lt;br&gt;2. W14x90 Column (Flange)</w:t>
            </w:r>
          </w:p>
        </w:tc>
        <w:tc>
          <w:tcPr>
            <w:tcW w:type="dxa" w:w="1728"/>
          </w:tcPr>
          <w:p>
            <w:r>
              <w:t>Critical&lt;br&gt;(Hard Clash)</w:t>
            </w:r>
          </w:p>
        </w:tc>
        <w:tc>
          <w:tcPr>
            <w:tcW w:type="dxa" w:w="1728"/>
          </w:tcPr>
          <w:p>
            <w:r>
              <w:t>Immediate Action Required. The beam is modeled passing directly through the column flange. This is a geometric impossibility. Resolution: Revise framing plan. The EOR (Engineer of Record) must shift the beam to frame into the column web or provide an alternative framing solution.</w:t>
            </w:r>
          </w:p>
        </w:tc>
      </w:tr>
      <w:tr>
        <w:tc>
          <w:tcPr>
            <w:tcW w:type="dxa" w:w="1728"/>
          </w:tcPr>
          <w:p>
            <w:r>
              <w:t>CL-002</w:t>
            </w:r>
          </w:p>
        </w:tc>
        <w:tc>
          <w:tcPr>
            <w:tcW w:type="dxa" w:w="1728"/>
          </w:tcPr>
          <w:p>
            <w:r>
              <w:t>Level 2 Mechanical Room @ Grid B-5</w:t>
            </w:r>
          </w:p>
        </w:tc>
        <w:tc>
          <w:tcPr>
            <w:tcW w:type="dxa" w:w="1728"/>
          </w:tcPr>
          <w:p>
            <w:r>
              <w:t>1. W24x76 Girder (Bottom Flange)&lt;br&gt;2. HVAC Main Supply Duct (48"x24")</w:t>
            </w:r>
          </w:p>
        </w:tc>
        <w:tc>
          <w:tcPr>
            <w:tcW w:type="dxa" w:w="1728"/>
          </w:tcPr>
          <w:p>
            <w:r>
              <w:t>High&lt;br&gt;(Cross-Trade)</w:t>
            </w:r>
          </w:p>
        </w:tc>
        <w:tc>
          <w:tcPr>
            <w:tcW w:type="dxa" w:w="1728"/>
          </w:tcPr>
          <w:p>
            <w:r>
              <w:t>Duct clashes with the primary structural girder, leaving no room for installation or insulation. Resolution: Hold coordination meeting with Mechanical Engineer. Options: 1) Reroute duct below the girder (check for ceiling height/headroom conflicts). 2) EOR to review girder for a potential large web penetration, which will require reinforcement design.</w:t>
            </w:r>
          </w:p>
        </w:tc>
      </w:tr>
      <w:tr>
        <w:tc>
          <w:tcPr>
            <w:tcW w:type="dxa" w:w="1728"/>
          </w:tcPr>
          <w:p>
            <w:r>
              <w:t>CL-003</w:t>
            </w:r>
          </w:p>
        </w:tc>
        <w:tc>
          <w:tcPr>
            <w:tcW w:type="dxa" w:w="1728"/>
          </w:tcPr>
          <w:p>
            <w:r>
              <w:t>Level 3 Roof @ Grids F-2 to F-3</w:t>
            </w:r>
          </w:p>
        </w:tc>
        <w:tc>
          <w:tcPr>
            <w:tcW w:type="dxa" w:w="1728"/>
          </w:tcPr>
          <w:p>
            <w:r>
              <w:t>1. W12x26 Infill Beam&lt;br&gt;2. W12x26 Parallel Infill Beam</w:t>
            </w:r>
          </w:p>
        </w:tc>
        <w:tc>
          <w:tcPr>
            <w:tcW w:type="dxa" w:w="1728"/>
          </w:tcPr>
          <w:p>
            <w:r>
              <w:t>High&lt;br&gt;(Soft Clash)</w:t>
            </w:r>
          </w:p>
        </w:tc>
        <w:tc>
          <w:tcPr>
            <w:tcW w:type="dxa" w:w="1728"/>
          </w:tcPr>
          <w:p>
            <w:r>
              <w:t>Beams are modeled with a 1.5" clear spacing between flanges. Violation: Fails to meet the required 3" minimum clearance for spray-applied fire-resistive material (SFRM) application. Resolution: Adjust framing layout to increase spacing between these members to a minimum of 3".</w:t>
            </w:r>
          </w:p>
        </w:tc>
      </w:tr>
      <w:tr>
        <w:tc>
          <w:tcPr>
            <w:tcW w:type="dxa" w:w="1728"/>
          </w:tcPr>
          <w:p>
            <w:r>
              <w:t>CL-004</w:t>
            </w:r>
          </w:p>
        </w:tc>
        <w:tc>
          <w:tcPr>
            <w:tcW w:type="dxa" w:w="1728"/>
          </w:tcPr>
          <w:p>
            <w:r>
              <w:t>Level 1 @ Grid G-7</w:t>
            </w:r>
          </w:p>
        </w:tc>
        <w:tc>
          <w:tcPr>
            <w:tcW w:type="dxa" w:w="1728"/>
          </w:tcPr>
          <w:p>
            <w:r>
              <w:t>1. W16x40 Beam (Moment End-Plate Bolts)&lt;br&gt;2. W14x120 Column (Web/Flange Corner)</w:t>
            </w:r>
          </w:p>
        </w:tc>
        <w:tc>
          <w:tcPr>
            <w:tcW w:type="dxa" w:w="1728"/>
          </w:tcPr>
          <w:p>
            <w:r>
              <w:t>Medium&lt;br&gt;(Connection Clearance)</w:t>
            </w:r>
          </w:p>
        </w:tc>
        <w:tc>
          <w:tcPr>
            <w:tcW w:type="dxa" w:w="1728"/>
          </w:tcPr>
          <w:p>
            <w:r>
              <w:t>The moment end-plate connection bolts on the W16x40 are too close to the interior corner of the W14x120 column. An impact wrench/torque wrench cannot access the bolts. Resolution: Issue RFI to Fabricator/Detailer. Options: 1) Detail an alternative bolt tightening method (e.g., turn-of-nut with cheater bar). 2) Investigate if connection can be shifted slightly without impacting design intent.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D2240"/>
        </w:rPr>
        <w:t>Analysis Details &amp; General Observations</w:t>
      </w:r>
    </w:p>
    <w:p>
      <w:pPr>
        <w:pStyle w:val="ListNumber"/>
      </w:pPr>
      <w:r>
        <w:t>Hard Clashes (Steel-to-Steel):</w:t>
      </w:r>
    </w:p>
    <w:p>
      <w:pPr>
        <w:pStyle w:val="ListBullet"/>
      </w:pPr>
      <w:r>
        <w:t>One critical clash (CL-001) was found, indicating a fundamental error in the structural model's geometry. All other primary and secondary members appear to be framed correctly without direct inter-element interference.</w:t>
      </w:r>
    </w:p>
    <w:p>
      <w:pPr>
        <w:pStyle w:val="ListNumber"/>
      </w:pPr>
      <w:r>
        <w:t>Soft Clashes (Clearance Violations):</w:t>
      </w:r>
    </w:p>
    <w:p>
      <w:pPr>
        <w:pStyle w:val="ListBullet"/>
      </w:pPr>
      <w:r>
        <w:t>Clash Rule Applied: Minimum 3" clearance for SFRM application; minimum 1/2" general erection tolerance.</w:t>
      </w:r>
    </w:p>
    <w:p>
      <w:pPr>
        <w:pStyle w:val="ListBullet"/>
      </w:pPr>
      <w:r>
        <w:t>The model flagged 5 instances similar to CL-003, primarily at the roof level where framing is dense. This suggests a systemic issue in the roof framing layout that should be addressed globally.</w:t>
      </w:r>
    </w:p>
    <w:p>
      <w:pPr>
        <w:pStyle w:val="ListNumber"/>
      </w:pPr>
      <w:r>
        <w:t>Cross-Trade Clashes (Level 2 Mechanical Room):</w:t>
      </w:r>
    </w:p>
    <w:p>
      <w:pPr>
        <w:pStyle w:val="ListBullet"/>
      </w:pPr>
      <w:r>
        <w:t>The Level 2 Mechanical Room is highly congested. In addition to the primary duct clash (CL-002), 8 other clashes were identified in this zone involving:</w:t>
      </w:r>
    </w:p>
    <w:p>
      <w:pPr>
        <w:pStyle w:val="ListBullet"/>
      </w:pPr>
      <w:r>
        <w:t>Hydronic piping running through beam webs without specified openings.</w:t>
      </w:r>
    </w:p>
    <w:p>
      <w:pPr>
        <w:pStyle w:val="ListBullet"/>
      </w:pPr>
      <w:r>
        <w:t>Electrical conduit trays clashing with kicker bracing.</w:t>
      </w:r>
    </w:p>
    <w:p>
      <w:pPr>
        <w:pStyle w:val="ListBullet"/>
      </w:pPr>
      <w:r>
        <w:t>A large air handling unit (AHU) platform leg landing directly on a mid-span beam instead of near a column.</w:t>
      </w:r>
    </w:p>
    <w:p>
      <w:pPr>
        <w:pStyle w:val="ListBullet"/>
      </w:pPr>
      <w:r>
        <w:t>Recommendation: A dedicated coordination session for the Level 2 Mechanical Room is strongly advised before fabrication begins.</w:t>
      </w:r>
    </w:p>
    <w:p>
      <w:pPr>
        <w:pStyle w:val="ListNumber"/>
      </w:pPr>
      <w:r>
        <w:t>Connection Clearance (Tools/Bolts):</w:t>
      </w:r>
    </w:p>
    <w:p>
      <w:pPr>
        <w:pStyle w:val="ListBullet"/>
      </w:pPr>
      <w:r>
        <w:t>Clash Rule Applied: 6" radius sphere around bolt heads/nuts for standard impact tool access.</w:t>
      </w:r>
    </w:p>
    <w:p>
      <w:pPr>
        <w:pStyle w:val="ListBullet"/>
      </w:pPr>
      <w:r>
        <w:t>Three instances similar to CL-004 were found at moment connections in tight corners. These represent significant constructability issues that will cause delays and increase labor costs on-site if not addressed during detailing.</w:t>
      </w:r>
    </w:p>
    <w:p>
      <w:pPr>
        <w:pStyle w:val="Heading3"/>
      </w:pPr>
      <w:r>
        <w:rPr>
          <w:color w:val="0D2240"/>
        </w:rPr>
        <w:t>Next Steps</w:t>
      </w:r>
    </w:p>
    <w:p>
      <w:pPr>
        <w:pStyle w:val="ListNumber"/>
      </w:pPr>
      <w:r>
        <w:t>Distribute Report: Issue this report immediately to the EOR, Architect, MEP Engineer, and Steel Fabricator.</w:t>
      </w:r>
    </w:p>
    <w:p>
      <w:pPr>
        <w:pStyle w:val="ListNumber"/>
      </w:pPr>
      <w:r>
        <w:t>Prioritize CL-001: The structural EOR must provide a resolution for the hard clash before any further action is taken on that framing line.</w:t>
      </w:r>
    </w:p>
    <w:p>
      <w:pPr>
        <w:pStyle w:val="ListNumber"/>
      </w:pPr>
      <w:r>
        <w:t>Schedule Coordination Meeting: Focus on resolving all clashes within the Level 2 Mechanical Room.</w:t>
      </w:r>
    </w:p>
    <w:p>
      <w:pPr>
        <w:pStyle w:val="ListNumber"/>
      </w:pPr>
      <w:r>
        <w:t>Issue RFIs: Formally request information for the soft clearance and connection access issues.</w:t>
      </w:r>
    </w:p>
    <w:p>
      <w:r>
        <w:t>This report represents a snapshot of the model's current state. Continuous clash detection is recommended as design models are updated.</w:t>
      </w:r>
    </w:p>
    <w:p>
      <w:r>
        <w:t>STRUCTMIND AI Analysis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