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SUSTAINABILITY REPORT</w:t>
      </w:r>
    </w:p>
    <w:p>
      <w:r>
        <w:t>Project: Quick Analysis</w:t>
      </w:r>
    </w:p>
    <w:p>
      <w:r>
        <w:t>Generated: 2026-04-24T19:16:12.282331+00:00</w:t>
      </w:r>
    </w:p>
    <w:p>
      <w:r>
        <w:t>Model: STRUCTMIND CORE · PRO</w:t>
      </w:r>
    </w:p>
    <w:p>
      <w:r>
        <w:t>SHA-256 Hash: 12b93db7a65e57e7d5e82f64bc59ae929868415d9152989afde994357c0cb212</w:t>
      </w:r>
    </w:p>
    <w:p/>
    <w:p>
      <w:r>
        <w:t>Of course. Here is the STRUCTMIND AI Sustainability Report for the specified structural steel package.</w:t>
      </w:r>
    </w:p>
    <w:p>
      <w:r>
        <w:t>*</w:t>
      </w:r>
    </w:p>
    <w:p>
      <w:pPr>
        <w:pStyle w:val="Heading3"/>
      </w:pPr>
      <w:r>
        <w:rPr>
          <w:color w:val="0D2240"/>
        </w:rPr>
        <w:t>STRUCTMIND AI Sustainability Report</w:t>
      </w:r>
    </w:p>
    <w:p>
      <w:r>
        <w:t>This report analyzes the key sustainability metrics for the procurement and delivery of 220 tons of structural steel, comparing Electric Arc Furnace (EAF) and Basic Oxygen Furnace (BOF) production methods.</w:t>
      </w:r>
    </w:p>
    <w:p>
      <w:r>
        <w:t>Project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Structural Steel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220 tons</w:t>
            </w:r>
          </w:p>
        </w:tc>
      </w:tr>
      <w:tr>
        <w:tc>
          <w:tcPr>
            <w:tcW w:type="dxa" w:w="4320"/>
          </w:tcPr>
          <w:p>
            <w:r>
              <w:t>Manufacturing Process</w:t>
            </w:r>
          </w:p>
        </w:tc>
        <w:tc>
          <w:tcPr>
            <w:tcW w:type="dxa" w:w="4320"/>
          </w:tcPr>
          <w:p>
            <w:r>
              <w:t>EAF (Electric Arc Furnace) vs. BOF (Basic Oxygen Furnace)</w:t>
            </w:r>
          </w:p>
        </w:tc>
      </w:tr>
      <w:tr>
        <w:tc>
          <w:tcPr>
            <w:tcW w:type="dxa" w:w="4320"/>
          </w:tcPr>
          <w:p>
            <w:r>
              <w:t>Coating System</w:t>
            </w:r>
          </w:p>
        </w:tc>
        <w:tc>
          <w:tcPr>
            <w:tcW w:type="dxa" w:w="4320"/>
          </w:tcPr>
          <w:p>
            <w:r>
              <w:t>SSPC 3-Coat System (e.g., Zinc/Epoxy/Polyurethane)</w:t>
            </w:r>
          </w:p>
        </w:tc>
      </w:tr>
      <w:tr>
        <w:tc>
          <w:tcPr>
            <w:tcW w:type="dxa" w:w="4320"/>
          </w:tcPr>
          <w:p>
            <w:r>
              <w:t>Transportation</w:t>
            </w:r>
          </w:p>
        </w:tc>
        <w:tc>
          <w:tcPr>
            <w:tcW w:type="dxa" w:w="4320"/>
          </w:tcPr>
          <w:p>
            <w:r>
              <w:t>Truck, 900 miles (from mill/fabricator to site)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D2240"/>
        </w:rPr>
        <w:t>1. Embodied Carbon Estimate (A1-A3, Cradle-to-Gate)</w:t>
      </w:r>
    </w:p>
    <w:p>
      <w:r>
        <w:t>This estimate covers emissions from raw material extraction through the manufacturing process, before transportation. The choice of mill type is the single most significant factor.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Mill Type</w:t>
            </w:r>
          </w:p>
        </w:tc>
        <w:tc>
          <w:tcPr>
            <w:tcW w:type="dxa" w:w="2160"/>
          </w:tcPr>
          <w:p>
            <w:r>
              <w:t>Embodied Carbon (per ton)</w:t>
            </w:r>
          </w:p>
        </w:tc>
        <w:tc>
          <w:tcPr>
            <w:tcW w:type="dxa" w:w="2160"/>
          </w:tcPr>
          <w:p>
            <w:r>
              <w:t>Total Embodied Carbon (220 tons)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</w:tr>
      <w:tr>
        <w:tc>
          <w:tcPr>
            <w:tcW w:type="dxa" w:w="2160"/>
          </w:tcPr>
          <w:p>
            <w:r>
              <w:t>EAF Steel</w:t>
            </w:r>
          </w:p>
        </w:tc>
        <w:tc>
          <w:tcPr>
            <w:tcW w:type="dxa" w:w="2160"/>
          </w:tcPr>
          <w:p>
            <w:r>
              <w:t>~600 kgCO₂e / ton</w:t>
            </w:r>
          </w:p>
        </w:tc>
        <w:tc>
          <w:tcPr>
            <w:tcW w:type="dxa" w:w="2160"/>
          </w:tcPr>
          <w:p>
            <w:r>
              <w:t>132,000 kgCO₂e (132 metric tons)</w:t>
            </w:r>
          </w:p>
        </w:tc>
        <w:tc>
          <w:tcPr>
            <w:tcW w:type="dxa" w:w="2160"/>
          </w:tcPr>
          <w:p>
            <w:r>
              <w:t>Significantly lower carbon footprint due to the use of recycled scrap steel as the primary feedstock, powered by electricity.</w:t>
            </w:r>
          </w:p>
        </w:tc>
      </w:tr>
      <w:tr>
        <w:tc>
          <w:tcPr>
            <w:tcW w:type="dxa" w:w="2160"/>
          </w:tcPr>
          <w:p>
            <w:r>
              <w:t>BOF Steel</w:t>
            </w:r>
          </w:p>
        </w:tc>
        <w:tc>
          <w:tcPr>
            <w:tcW w:type="dxa" w:w="2160"/>
          </w:tcPr>
          <w:p>
            <w:r>
              <w:t>~2,200 kgCO₂e / ton</w:t>
            </w:r>
          </w:p>
        </w:tc>
        <w:tc>
          <w:tcPr>
            <w:tcW w:type="dxa" w:w="2160"/>
          </w:tcPr>
          <w:p>
            <w:r>
              <w:t>484,000 kgCO₂e (484 metric tons)</w:t>
            </w:r>
          </w:p>
        </w:tc>
        <w:tc>
          <w:tcPr>
            <w:tcW w:type="dxa" w:w="2160"/>
          </w:tcPr>
          <w:p>
            <w:r>
              <w:t>Substantially higher footprint due to the carbon-intensive process of converting iron ore into steel using metallurgical coal.</w:t>
            </w:r>
          </w:p>
        </w:tc>
      </w:tr>
    </w:tbl>
    <w:p/>
    <w:p>
      <w:r>
        <w:t>Conclusion: Specifying steel from an EAF mill results in an approximate 74% reduction in cradle-to-gate embodied carbon for this project.</w:t>
      </w:r>
    </w:p>
    <w:p>
      <w:r>
        <w:t>---</w:t>
      </w:r>
    </w:p>
    <w:p>
      <w:pPr>
        <w:pStyle w:val="Heading3"/>
      </w:pPr>
      <w:r>
        <w:rPr>
          <w:color w:val="0D2240"/>
        </w:rPr>
        <w:t>2. Recycled Content % Target</w:t>
      </w:r>
    </w:p>
    <w:p>
      <w:r>
        <w:t>Recycled content is directly linked to the production method and is critical for circular economy goals and LEED credits.</w:t>
      </w:r>
    </w:p>
    <w:p>
      <w:pPr>
        <w:pStyle w:val="ListBullet"/>
      </w:pPr>
      <w:r>
        <w:t>EAF Mills Target: &gt;93%</w:t>
      </w:r>
    </w:p>
    <w:p>
      <w:pPr>
        <w:pStyle w:val="ListBullet"/>
      </w:pPr>
      <w:r>
        <w:t>EAF production primarily melts scrap steel. Typical recycled content ranges from 93-98%, making it a cornerstone of steel recycling.</w:t>
      </w:r>
    </w:p>
    <w:p>
      <w:pPr>
        <w:pStyle w:val="ListBullet"/>
      </w:pPr>
      <w:r>
        <w:t>BOF Mills Target: 25-35%</w:t>
      </w:r>
    </w:p>
    <w:p>
      <w:pPr>
        <w:pStyle w:val="ListBullet"/>
      </w:pPr>
      <w:r>
        <w:t>BOF production is limited in the amount of scrap it can use. Recycled content is supplemental and significantly lower.</w:t>
      </w:r>
    </w:p>
    <w:p>
      <w:r>
        <w:t>---</w:t>
      </w:r>
    </w:p>
    <w:p>
      <w:pPr>
        <w:pStyle w:val="Heading3"/>
      </w:pPr>
      <w:r>
        <w:rPr>
          <w:color w:val="0D2240"/>
        </w:rPr>
        <w:t>3. Transportation Carbon Estimate (A4, Transport-to-Site)</w:t>
      </w:r>
    </w:p>
    <w:p>
      <w:r>
        <w:t>This calculation estimates the emissions from transporting the 220 tons of fabricated steel 900 miles by heavy-duty truck.</w:t>
      </w:r>
    </w:p>
    <w:p>
      <w:pPr>
        <w:pStyle w:val="ListBullet"/>
      </w:pPr>
      <w:r>
        <w:t>Total Ton-Miles: 220 tons × 900 miles = 198,000 ton-miles</w:t>
      </w:r>
    </w:p>
    <w:p>
      <w:pPr>
        <w:pStyle w:val="ListBullet"/>
      </w:pPr>
      <w:r>
        <w:t>Emission Factor (Truck): ~0.16 kg CO₂e per ton-mile</w:t>
      </w:r>
    </w:p>
    <w:p>
      <w:pPr>
        <w:pStyle w:val="ListBullet"/>
      </w:pPr>
      <w:r>
        <w:t>Calculation: 198,000 ton-miles × 0.16 kg CO₂e/ton-mile = 31,680 kg CO₂e</w:t>
      </w:r>
    </w:p>
    <w:p>
      <w:pPr>
        <w:pStyle w:val="ListBullet"/>
      </w:pPr>
      <w:r>
        <w:t>Estimated Transport Carbon: ~31.7 metric tons CO₂e</w:t>
      </w:r>
    </w:p>
    <w:p>
      <w:r>
        <w:t>Recommendation: While this is a fixed parameter for this report, sourcing from a fabricator closer to the project site is a key strategy for reducing transport emissions.</w:t>
      </w:r>
    </w:p>
    <w:p>
      <w:r>
        <w:t>---</w:t>
      </w:r>
    </w:p>
    <w:p>
      <w:pPr>
        <w:pStyle w:val="Heading3"/>
      </w:pPr>
      <w:r>
        <w:rPr>
          <w:color w:val="0D2240"/>
        </w:rPr>
        <w:t>4. Coating VOC / Low-Emission Options</w:t>
      </w:r>
    </w:p>
    <w:p>
      <w:r>
        <w:t>A standard SSPC 3-coat system (e.g., inorganic zinc primer, epoxy mid-coat, polyurethane topcoat) provides excellent corrosion protection but can contain high levels of Volatile Organic Compounds (VOCs).</w:t>
      </w:r>
    </w:p>
    <w:p>
      <w:pPr>
        <w:pStyle w:val="ListBullet"/>
      </w:pPr>
      <w:r>
        <w:t>Standard System VOCs: Can range from 250 to 400 g/L. VOCs contribute to smog formation and poor air quality.</w:t>
      </w:r>
    </w:p>
    <w:p>
      <w:pPr>
        <w:pStyle w:val="ListBullet"/>
      </w:pPr>
      <w:r>
        <w:t>Low-Emission Recommendations:</w:t>
      </w:r>
    </w:p>
    <w:p>
      <w:pPr>
        <w:pStyle w:val="ListNumber"/>
      </w:pPr>
      <w:r>
        <w:t>Specify Low-VOC Formulations: Mandate coatings with VOC content &lt;100 g/L. Most major manufacturers offer high-performance, low-VOC equivalents.</w:t>
      </w:r>
    </w:p>
    <w:p>
      <w:pPr>
        <w:pStyle w:val="ListNumber"/>
      </w:pPr>
      <w:r>
        <w:t>Consider High-Solids Coatings: These systems have less solvent to evaporate, reducing VOC emissions and often requiring fewer coats.</w:t>
      </w:r>
    </w:p>
    <w:p>
      <w:pPr>
        <w:pStyle w:val="ListNumber"/>
      </w:pPr>
      <w:r>
        <w:t>Shop Application: Prioritize coating application in a controlled shop environment rather than on-site to manage emissions and improve quality control.</w:t>
      </w:r>
    </w:p>
    <w:p>
      <w:r>
        <w:t>---</w:t>
      </w:r>
    </w:p>
    <w:p>
      <w:pPr>
        <w:pStyle w:val="Heading3"/>
      </w:pPr>
      <w:r>
        <w:rPr>
          <w:color w:val="0D2240"/>
        </w:rPr>
        <w:t>5. Material Efficiency &amp; Waste Factor</w:t>
      </w:r>
    </w:p>
    <w:p>
      <w:r>
        <w:t>Structural steel fabrication is highly efficient due to advanced modeling and cutting technologies.</w:t>
      </w:r>
    </w:p>
    <w:p>
      <w:pPr>
        <w:pStyle w:val="ListBullet"/>
      </w:pPr>
      <w:r>
        <w:t>Target Waste Factor: &lt; 5%</w:t>
      </w:r>
    </w:p>
    <w:p>
      <w:pPr>
        <w:pStyle w:val="ListBullet"/>
      </w:pPr>
      <w:r>
        <w:t>Process: Modern fabrication utilizes BIM models and nesting software to optimize cutting patterns from standard steel sections, minimizing off-cuts.</w:t>
      </w:r>
    </w:p>
    <w:p>
      <w:pPr>
        <w:pStyle w:val="ListBullet"/>
      </w:pPr>
      <w:r>
        <w:t>Circularity: All steel off-cuts and scrap generated during fabrication are 100% recyclable and are typically collected and sent back to an EAF mill, creating a closed-loop system.</w:t>
      </w:r>
    </w:p>
    <w:p>
      <w:r>
        <w:t>---</w:t>
      </w:r>
    </w:p>
    <w:p>
      <w:pPr>
        <w:pStyle w:val="Heading3"/>
      </w:pPr>
      <w:r>
        <w:rPr>
          <w:color w:val="0D2240"/>
        </w:rPr>
        <w:t>6. EPD / LEED / BREEAM Contribution Summary</w:t>
      </w:r>
    </w:p>
    <w:p>
      <w:r>
        <w:t>To claim sustainability credits, documentation is essential. Specifying steel from a mill that provides an Environmental Product Declaration (EPD) is the first and most critical step.</w:t>
      </w:r>
    </w:p>
    <w:p>
      <w:r>
        <w:t>#### LEED v4.1 MRc Contribution (Focus on EAF Steel)</w:t>
      </w:r>
    </w:p>
    <w:p>
      <w:r>
        <w:t>The 220 tons of EAF-produced steel can contribute significantly to the following Materials and Resources (MR) credits: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LEED v4.1 Credit</w:t>
            </w:r>
          </w:p>
        </w:tc>
        <w:tc>
          <w:tcPr>
            <w:tcW w:type="dxa" w:w="4320"/>
          </w:tcPr>
          <w:p>
            <w:r>
              <w:t>Contribution Path &amp; Analysis</w:t>
            </w:r>
          </w:p>
        </w:tc>
      </w:tr>
      <w:tr>
        <w:tc>
          <w:tcPr>
            <w:tcW w:type="dxa" w:w="4320"/>
          </w:tcPr>
          <w:p>
            <w:r>
              <w:t>MRc: Building Product Disclosure &amp; Optimization – EPDs</w:t>
            </w:r>
          </w:p>
        </w:tc>
        <w:tc>
          <w:tcPr>
            <w:tcW w:type="dxa" w:w="4320"/>
          </w:tcPr>
          <w:p>
            <w:r>
              <w:t>(Potential: 1-2 points)&lt;br&gt;• Option 1 (1 point): Obtain a product-specific Type III EPD from the steel mill/fabricator. This is the most common and achievable path.&lt;br&gt;• Option 2 (2 points): If the EPD demonstrates an embodied carbon value below the industry average, an additional point for optimization can be achieved. EAF steel is inherently positioned to meet this.</w:t>
            </w:r>
          </w:p>
        </w:tc>
      </w:tr>
      <w:tr>
        <w:tc>
          <w:tcPr>
            <w:tcW w:type="dxa" w:w="4320"/>
          </w:tcPr>
          <w:p>
            <w:r>
              <w:t>MRc: Building Product Disclosure &amp; Optimization – Sourcing of Raw Materials</w:t>
            </w:r>
          </w:p>
        </w:tc>
        <w:tc>
          <w:tcPr>
            <w:tcW w:type="dxa" w:w="4320"/>
          </w:tcPr>
          <w:p>
            <w:r>
              <w:t>(Potential: 1 point)&lt;br&gt;• Option 2 (Recycled Content): EAF steel with &gt;93% post-consumer and pre-consumer recycled content is a major contributor. The material's cost is multiplied by its recycled content percentage to contribute to the project's overall threshold (typically 25% by cost).</w:t>
            </w:r>
          </w:p>
        </w:tc>
      </w:tr>
      <w:tr>
        <w:tc>
          <w:tcPr>
            <w:tcW w:type="dxa" w:w="4320"/>
          </w:tcPr>
          <w:p>
            <w:r>
              <w:t>MRc: Building Product Disclosure &amp; Optimization – Material Ingredients</w:t>
            </w:r>
          </w:p>
        </w:tc>
        <w:tc>
          <w:tcPr>
            <w:tcW w:type="dxa" w:w="4320"/>
          </w:tcPr>
          <w:p>
            <w:r>
              <w:t>(Potential: 1 point)&lt;br&gt;• This credit is less commonly achieved with raw structural steel. However, if the fabricator can provide a Health Product Declaration (HPD) or Declare Label for the finished members, it can contribute.</w:t>
            </w:r>
          </w:p>
        </w:tc>
      </w:tr>
    </w:tbl>
    <w:p/>
    <w:p>
      <w:r>
        <w:t>Summary for LEED: By specifying EAF steel with a product-specific EPD, this package can confidently contribute toward at least two LEED points under the Materials and Resources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