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SUSTAINABILITY REPORT</w:t>
      </w:r>
    </w:p>
    <w:p>
      <w:r>
        <w:t>Project: Quick Analysis</w:t>
      </w:r>
    </w:p>
    <w:p>
      <w:r>
        <w:t>Generated: 2026-04-24T19:11:38.543188+00:00</w:t>
      </w:r>
    </w:p>
    <w:p>
      <w:r>
        <w:t>Model: STRUCTMIND CORE · PRO</w:t>
      </w:r>
    </w:p>
    <w:p>
      <w:r>
        <w:t>SHA-256 Hash: 37327775ce5cba1423f3e011bca31d965c4c1911ce0133f184fd8c10e661f75f</w:t>
      </w:r>
    </w:p>
    <w:p/>
    <w:p>
      <w:r>
        <w:t>Of course. Here is the STRUCTMIND AI Sustainability Report for the specified structural steel package.</w:t>
      </w:r>
    </w:p>
    <w:p>
      <w:r>
        <w:t>*</w:t>
      </w:r>
    </w:p>
    <w:p>
      <w:pPr>
        <w:pStyle w:val="Heading3"/>
      </w:pPr>
      <w:r>
        <w:rPr>
          <w:color w:val="0D2240"/>
        </w:rPr>
        <w:t>STRUCTMIND AI: Sustainability Report</w:t>
      </w:r>
    </w:p>
    <w:p>
      <w:r>
        <w:t>Project Component: Structural Steel Package Total Tonnage: 220 tons (199.6 metric tons) Manufacturing Process: Comparative Analysis: Electric Arc Furnace (EAF) vs. Basic Oxygen Furnace (BOF) Coating System: Standard SSPC 3-Coat System (Assumed: Zinc/Epoxy/Urethane) Transportation: Truck Freight, 900 miles (1,450 km)</w:t>
      </w:r>
    </w:p>
    <w:p>
      <w:r>
        <w:t>---</w:t>
      </w:r>
    </w:p>
    <w:p>
      <w:pPr>
        <w:pStyle w:val="Heading3"/>
      </w:pPr>
      <w:r>
        <w:rPr>
          <w:color w:val="0D2240"/>
        </w:rPr>
        <w:t>1. Embodied Carbon Estimate (A1-A3 Manufacturing)</w:t>
      </w:r>
    </w:p>
    <w:p>
      <w:r>
        <w:t>This estimates the "cradle-to-gate" carbon emissions from raw material extraction through the manufacturing process. The choice of mill is the single most significant factor.</w:t>
      </w:r>
    </w:p>
    <w:p>
      <w:pPr>
        <w:pStyle w:val="ListBullet"/>
      </w:pPr>
      <w:r>
        <w:t>Electric Arc Furnace (EAF) Mills:</w:t>
      </w:r>
    </w:p>
    <w:p>
      <w:pPr>
        <w:pStyle w:val="ListBullet"/>
      </w:pPr>
      <w:r>
        <w:t>kgCO₂e per ton: ~600 kgCO₂e / ton (0.6 tCO₂e / ton)</w:t>
      </w:r>
    </w:p>
    <w:p>
      <w:pPr>
        <w:pStyle w:val="ListBullet"/>
      </w:pPr>
      <w:r>
        <w:t>Total Project Embodied Carbon: 132,000 kgCO₂e (132 metric tons CO₂e)</w:t>
      </w:r>
    </w:p>
    <w:p>
      <w:pPr>
        <w:pStyle w:val="ListBullet"/>
      </w:pPr>
      <w:r>
        <w:t>Basic Oxygen Furnace (BOF) Mills:</w:t>
      </w:r>
    </w:p>
    <w:p>
      <w:pPr>
        <w:pStyle w:val="ListBullet"/>
      </w:pPr>
      <w:r>
        <w:t>kgCO₂e per ton: ~2,200 kgCO₂e / ton (2.2 tCO₂e / ton)</w:t>
      </w:r>
    </w:p>
    <w:p>
      <w:pPr>
        <w:pStyle w:val="ListBullet"/>
      </w:pPr>
      <w:r>
        <w:t>Total Project Embodied Carbon: 484,000 kgCO₂e (484 metric tons CO₂e)</w:t>
      </w:r>
    </w:p>
    <w:p>
      <w:r>
        <w:t>Analysis: Specifying steel from an EAF mill reduces the manufacturing-stage embodied carbon of this package by approximately 73% (a saving of 352 metric tons of CO₂e) compared to steel from a typical BOF mill. This is due to EAF's use of recycled scrap as its primary feedstock.</w:t>
      </w:r>
    </w:p>
    <w:p>
      <w:r>
        <w:t>---</w:t>
      </w:r>
    </w:p>
    <w:p>
      <w:pPr>
        <w:pStyle w:val="Heading3"/>
      </w:pPr>
      <w:r>
        <w:rPr>
          <w:color w:val="0D2240"/>
        </w:rPr>
        <w:t>2. Recycled Content % Target</w:t>
      </w:r>
    </w:p>
    <w:p>
      <w:r>
        <w:t>Recycled content is the primary driver of the embodied carbon difference.</w:t>
      </w:r>
    </w:p>
    <w:p>
      <w:pPr>
        <w:pStyle w:val="ListBullet"/>
      </w:pPr>
      <w:r>
        <w:t>EAF Mills: The feedstock is almost entirely recycled scrap steel.</w:t>
      </w:r>
    </w:p>
    <w:p>
      <w:pPr>
        <w:pStyle w:val="ListBullet"/>
      </w:pPr>
      <w:r>
        <w:t>Target Recycled Content: &gt;90% (Typically 93-97%)</w:t>
      </w:r>
    </w:p>
    <w:p>
      <w:pPr>
        <w:pStyle w:val="ListBullet"/>
      </w:pPr>
      <w:r>
        <w:t>BOF Mills: The feedstock is primarily virgin iron ore, with a smaller amount of scrap used for process control.</w:t>
      </w:r>
    </w:p>
    <w:p>
      <w:pPr>
        <w:pStyle w:val="ListBullet"/>
      </w:pPr>
      <w:r>
        <w:t>Typical Recycled Content: 25-35%</w:t>
      </w:r>
    </w:p>
    <w:p>
      <w:r>
        <w:t>Recommendation: To meet sustainability goals, mandate steel from EAF mills to maximize recycled content.</w:t>
      </w:r>
    </w:p>
    <w:p>
      <w:r>
        <w:t>---</w:t>
      </w:r>
    </w:p>
    <w:p>
      <w:pPr>
        <w:pStyle w:val="Heading3"/>
      </w:pPr>
      <w:r>
        <w:rPr>
          <w:color w:val="0D2240"/>
        </w:rPr>
        <w:t>3. Transportation Carbon Estimate (A4 Transport)</w:t>
      </w:r>
    </w:p>
    <w:p>
      <w:r>
        <w:t>This estimates the "gate-to-site" emissions from transporting the fabricated steel.</w:t>
      </w:r>
    </w:p>
    <w:p>
      <w:pPr>
        <w:pStyle w:val="ListBullet"/>
      </w:pPr>
      <w:r>
        <w:t>Methodology:</w:t>
      </w:r>
    </w:p>
    <w:p>
      <w:pPr>
        <w:pStyle w:val="ListBullet"/>
      </w:pPr>
      <w:r>
        <w:t>Total Ton-Miles: 220 tons * 900 miles = 198,000 ton-miles</w:t>
      </w:r>
    </w:p>
    <w:p>
      <w:pPr>
        <w:pStyle w:val="ListBullet"/>
      </w:pPr>
      <w:r>
        <w:t>Emission Factor: ~0.16 kgCO₂e per ton-mile (Typical for heavy-duty truck freight)</w:t>
      </w:r>
    </w:p>
    <w:p>
      <w:pPr>
        <w:pStyle w:val="ListBullet"/>
      </w:pPr>
      <w:r>
        <w:t>Calculation:</w:t>
      </w:r>
    </w:p>
    <w:p>
      <w:pPr>
        <w:pStyle w:val="ListBullet"/>
      </w:pPr>
      <w:r>
        <w:t>198,000 ton-miles * 0.16 kgCO₂e/ton-mile = 31,680 kgCO₂e</w:t>
      </w:r>
    </w:p>
    <w:p>
      <w:pPr>
        <w:pStyle w:val="ListBullet"/>
      </w:pPr>
      <w:r>
        <w:t>Total Transportation Carbon: ~32 metric tons CO₂e</w:t>
      </w:r>
    </w:p>
    <w:p>
      <w:r>
        <w:t>Analysis: While significant, transportation emissions are secondary to manufacturing emissions. Sourcing from a fabricator/mill closer to the project site is the most effective way to reduce this impact.</w:t>
      </w:r>
    </w:p>
    <w:p>
      <w:r>
        <w:t>---</w:t>
      </w:r>
    </w:p>
    <w:p>
      <w:pPr>
        <w:pStyle w:val="Heading3"/>
      </w:pPr>
      <w:r>
        <w:rPr>
          <w:color w:val="0D2240"/>
        </w:rPr>
        <w:t>4. Coating VOC / Low-Emission Options</w:t>
      </w:r>
    </w:p>
    <w:p>
      <w:r>
        <w:t>A standard 3-coat system (e.g., inorganic zinc primer, epoxy mid-coat, polyurethane topcoat) provides excellent corrosion protection but can have a high Volatile Organic Compound (VOC) content.</w:t>
      </w:r>
    </w:p>
    <w:p>
      <w:pPr>
        <w:pStyle w:val="ListBullet"/>
      </w:pPr>
      <w:r>
        <w:t>Standard System Impact: Traditional solvent-borne coatings can have VOC levels from 250 to 450 g/L. VOCs are precursors to smog and can impact air quality.</w:t>
      </w:r>
    </w:p>
    <w:p>
      <w:pPr>
        <w:pStyle w:val="ListBullet"/>
      </w:pPr>
      <w:r>
        <w:t>Low-Emission Alternatives:</w:t>
      </w:r>
    </w:p>
    <w:p>
      <w:pPr>
        <w:pStyle w:val="ListNumber"/>
      </w:pPr>
      <w:r>
        <w:t>Low/Zero-VOC Coatings: Specify paint systems with VOC content &lt;100 g/L. Many high-performance, water-based, and high-solids formulations are available.</w:t>
      </w:r>
    </w:p>
    <w:p>
      <w:pPr>
        <w:pStyle w:val="ListNumber"/>
      </w:pPr>
      <w:r>
        <w:t>Powder Coating: A zero-VOC option, though typically limited to smaller components due to oven size constraints.</w:t>
      </w:r>
    </w:p>
    <w:p>
      <w:pPr>
        <w:pStyle w:val="ListNumber"/>
      </w:pPr>
      <w:r>
        <w:t>Hot-Dip Galvanizing (HDG): An alternative corrosion protection system with extremely high durability and zero on-site VOC emissions. Its embodied carbon should be evaluated separately if considered.</w:t>
      </w:r>
    </w:p>
    <w:p>
      <w:r>
        <w:t>Recommendation: Require submittals for coating systems to include VOC content data. Specify a maximum allowable VOC limit (e.g., &lt;100 g/L) in the project documents.</w:t>
      </w:r>
    </w:p>
    <w:p>
      <w:r>
        <w:t>---</w:t>
      </w:r>
    </w:p>
    <w:p>
      <w:pPr>
        <w:pStyle w:val="Heading3"/>
      </w:pPr>
      <w:r>
        <w:rPr>
          <w:color w:val="0D2240"/>
        </w:rPr>
        <w:t>5. Material Efficiency &amp; Waste Factor</w:t>
      </w:r>
    </w:p>
    <w:p>
      <w:r>
        <w:t>During fabrication, waste is generated from cutting members to size and from remnants (off-cuts).</w:t>
      </w:r>
    </w:p>
    <w:p>
      <w:pPr>
        <w:pStyle w:val="ListBullet"/>
      </w:pPr>
      <w:r>
        <w:t>Estimated Waste Factor: 8-12% is a typical range for structural steel fabrication.</w:t>
      </w:r>
    </w:p>
    <w:p>
      <w:pPr>
        <w:pStyle w:val="ListBullet"/>
      </w:pPr>
      <w:r>
        <w:t>Project Waste Estimate: 220 tons * 10% = 22 tons of scrap steel.</w:t>
      </w:r>
    </w:p>
    <w:p>
      <w:pPr>
        <w:pStyle w:val="ListBullet"/>
      </w:pPr>
      <w:r>
        <w:t>Circularity: A key advantage of steel is that this waste is not landfilled. It is 100% recyclable and has high economic value. The 22 tons of scrap will be collected and sold back to a steel mill, typically an EAF, directly re-entering the supply chain. This creates a highly effective circular economy loop.</w:t>
      </w:r>
    </w:p>
    <w:p>
      <w:r>
        <w:t>Recommendation: Encourage early collaboration with the fabricator to optimize material usage through design detailing (e.g., minimizing cuts, using standard stock lengths) to reduce initial waste generation.</w:t>
      </w:r>
    </w:p>
    <w:p>
      <w:r>
        <w:t>---</w:t>
      </w:r>
    </w:p>
    <w:p>
      <w:pPr>
        <w:pStyle w:val="Heading3"/>
      </w:pPr>
      <w:r>
        <w:rPr>
          <w:color w:val="0D2240"/>
        </w:rPr>
        <w:t>6. EPD / LEED / BREEAM Contribution Summary</w:t>
      </w:r>
    </w:p>
    <w:p>
      <w:r>
        <w:t>This steel package can make a significant and direct contribution to green building certifications.</w:t>
      </w:r>
    </w:p>
    <w:p>
      <w:pPr>
        <w:pStyle w:val="ListBullet"/>
      </w:pPr>
      <w:r>
        <w:t>EPD (Environmental Product Declaration): Request a mill-specific, product-specific Type III EPD. This is the official documentation verifying the embodied carbon, recycled content, and other environmental impacts. Most major EAF mills in North America provide EPDs.</w:t>
      </w:r>
    </w:p>
    <w:p>
      <w:pPr>
        <w:pStyle w:val="ListBullet"/>
      </w:pPr>
      <w:r>
        <w:t>LEED v4.1 Contribution (MR Category: Materials and Resources):</w:t>
      </w:r>
    </w:p>
    <w:p>
      <w:pPr>
        <w:pStyle w:val="ListBullet"/>
      </w:pPr>
      <w:r>
        <w:t>MRc: Building Product Disclosure and Optimization – EPDs:</w:t>
      </w:r>
    </w:p>
    <w:p>
      <w:pPr>
        <w:pStyle w:val="ListBullet"/>
      </w:pPr>
      <w:r>
        <w:t>Option 1 (1 point): Achievable by sourcing from a manufacturer (the steel mill) that provides a product-specific EPD.</w:t>
      </w:r>
    </w:p>
    <w:p>
      <w:pPr>
        <w:pStyle w:val="ListBullet"/>
      </w:pPr>
      <w:r>
        <w:t>Option 2 (1 point): Potentially achievable. Requires the sourced EAF steel's EPD to demonstrate a Global Warming Potential (GWP) lower than the industry-average baseline. EAF steel is highly likely to meet this.</w:t>
      </w:r>
    </w:p>
    <w:p>
      <w:pPr>
        <w:pStyle w:val="ListBullet"/>
      </w:pPr>
      <w:r>
        <w:t>MRc: Building Product Disclosure and Optimization – Sourcing of Raw Materials:</w:t>
      </w:r>
    </w:p>
    <w:p>
      <w:pPr>
        <w:pStyle w:val="ListBullet"/>
      </w:pPr>
      <w:r>
        <w:t>Option 2 (1 point): Achievable. This credit rewards products meeting high recycled content thresholds. The &gt;90% recycled content of EAF steel easily qualifies for this credit.</w:t>
      </w:r>
    </w:p>
    <w:p>
      <w:r>
        <w:t>LEED Summary: By specifying and procuring EAF-produced structural steel with a qualifying EPD, this 220-ton package can directly contribute to achieving up to 3 points under the LEED v4.1 MR category.</w:t>
      </w:r>
    </w:p>
    <w:p>
      <w:r>
        <w:t xml:space="preserve"> Disclaimer:* The carbon factors and estimates provided are based on industry averages and established databases for preliminary analysis. Final values should be confirmed using project-specific Environmental Product Declarations (EPDs) from the selected steel mill and fabricator.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