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SUSTAINABILITY REPORT</w:t>
      </w:r>
    </w:p>
    <w:p>
      <w:r>
        <w:t>Project: Quick Analysis</w:t>
      </w:r>
    </w:p>
    <w:p>
      <w:r>
        <w:t>Generated: 2026-04-24T19:08:52.102128+00:00</w:t>
      </w:r>
    </w:p>
    <w:p>
      <w:r>
        <w:t>Model: STRUCTMIND CORE · PRO</w:t>
      </w:r>
    </w:p>
    <w:p>
      <w:r>
        <w:t>SHA-256 Hash: ca27bf292460c3ab5245091e35feeef504ad3734b62fe2ec03efcfaf6f19c896</w:t>
      </w:r>
    </w:p>
    <w:p/>
    <w:p>
      <w:r>
        <w:t>Of course. Here is the STRUCTMIND AI sustainability report for the specified structural steel package.</w:t>
      </w:r>
    </w:p>
    <w:p>
      <w:r>
        <w:t>*</w:t>
      </w:r>
    </w:p>
    <w:p>
      <w:pPr>
        <w:pStyle w:val="Heading3"/>
      </w:pPr>
      <w:r>
        <w:rPr>
          <w:color w:val="0D2240"/>
        </w:rPr>
        <w:t>Sustainability Report: 220 Tons of Structural Steel</w:t>
      </w:r>
    </w:p>
    <w:p>
      <w:r>
        <w:t>Project Scope: 220 tons of structural steel, fabricated and delivered 900 miles via truck, finished with an SSPC 3-coat paint system. This report analyzes the environmental impact and outlines strategies for mitigation and green building certification contribution.</w:t>
      </w:r>
    </w:p>
    <w:p>
      <w:r>
        <w:t>---</w:t>
      </w:r>
    </w:p>
    <w:p>
      <w:r>
        <w:t>#### 1. Embodied Carbon Estimate (Cradle-to-Gate)</w:t>
      </w:r>
    </w:p>
    <w:p>
      <w:r>
        <w:t>The production method of steel is the single largest determinant of its embodied carbon. The comparison between Electric Arc Furnace (EAF) and Basic Oxygen Furnace (BOF) is critical.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Production Method</w:t>
            </w:r>
          </w:p>
        </w:tc>
        <w:tc>
          <w:tcPr>
            <w:tcW w:type="dxa" w:w="2160"/>
          </w:tcPr>
          <w:p>
            <w:r>
              <w:t>Embodied Carbon (per ton)</w:t>
            </w:r>
          </w:p>
        </w:tc>
        <w:tc>
          <w:tcPr>
            <w:tcW w:type="dxa" w:w="2160"/>
          </w:tcPr>
          <w:p>
            <w:r>
              <w:t>Total for 220 Tons</w:t>
            </w:r>
          </w:p>
        </w:tc>
        <w:tc>
          <w:tcPr>
            <w:tcW w:type="dxa" w:w="2160"/>
          </w:tcPr>
          <w:p>
            <w:r>
              <w:t>Key Characteristic</w:t>
            </w:r>
          </w:p>
        </w:tc>
      </w:tr>
      <w:tr>
        <w:tc>
          <w:tcPr>
            <w:tcW w:type="dxa" w:w="2160"/>
          </w:tcPr>
          <w:p>
            <w:r>
              <w:t>Electric Arc Furnace (EAF)</w:t>
            </w:r>
          </w:p>
        </w:tc>
        <w:tc>
          <w:tcPr>
            <w:tcW w:type="dxa" w:w="2160"/>
          </w:tcPr>
          <w:p>
            <w:r>
              <w:t>600 - 800 kgCO₂e</w:t>
            </w:r>
          </w:p>
        </w:tc>
        <w:tc>
          <w:tcPr>
            <w:tcW w:type="dxa" w:w="2160"/>
          </w:tcPr>
          <w:p>
            <w:r>
              <w:t>132,000 - 176,000 kgCO₂e</w:t>
            </w:r>
          </w:p>
        </w:tc>
        <w:tc>
          <w:tcPr>
            <w:tcW w:type="dxa" w:w="2160"/>
          </w:tcPr>
          <w:p>
            <w:r>
              <w:t>Uses recycled steel scrap; powered by electricity. Strongly Recommended.</w:t>
            </w:r>
          </w:p>
        </w:tc>
      </w:tr>
      <w:tr>
        <w:tc>
          <w:tcPr>
            <w:tcW w:type="dxa" w:w="2160"/>
          </w:tcPr>
          <w:p>
            <w:r>
              <w:t>Basic Oxygen Furnace (BOF)</w:t>
            </w:r>
          </w:p>
        </w:tc>
        <w:tc>
          <w:tcPr>
            <w:tcW w:type="dxa" w:w="2160"/>
          </w:tcPr>
          <w:p>
            <w:r>
              <w:t>2,000 - 2,400 kgCO₂e</w:t>
            </w:r>
          </w:p>
        </w:tc>
        <w:tc>
          <w:tcPr>
            <w:tcW w:type="dxa" w:w="2160"/>
          </w:tcPr>
          <w:p>
            <w:r>
              <w:t>440,000 - 528,000 kgCO₂e</w:t>
            </w:r>
          </w:p>
        </w:tc>
        <w:tc>
          <w:tcPr>
            <w:tcW w:type="dxa" w:w="2160"/>
          </w:tcPr>
          <w:p>
            <w:r>
              <w:t>Uses virgin iron ore; energy-intensive process.</w:t>
            </w:r>
          </w:p>
        </w:tc>
      </w:tr>
    </w:tbl>
    <w:p/>
    <w:p>
      <w:r>
        <w:t>Analysis: Specifying EAF-produced steel results in a carbon savings of approximately 308,000 to 352,000 kgCO₂e (308 to 352 metric tons) for this project. This is a reduction of over 70% compared to BOF steel.</w:t>
      </w:r>
    </w:p>
    <w:p>
      <w:pPr>
        <w:pStyle w:val="ListBullet"/>
      </w:pPr>
      <w:r>
        <w:t>Recommendation: Mandate the use of steel from EAF mills in the project specifications.</w:t>
      </w:r>
    </w:p>
    <w:p>
      <w:r>
        <w:t>---</w:t>
      </w:r>
    </w:p>
    <w:p>
      <w:r>
        <w:t>#### 2. Recycled Content % Target</w:t>
      </w:r>
    </w:p>
    <w:p>
      <w:r>
        <w:t>Recycled content is directly linked to the production method and is a key metric for circular economy principles and LEED credits.</w:t>
      </w:r>
    </w:p>
    <w:p>
      <w:pPr>
        <w:pStyle w:val="ListBullet"/>
      </w:pPr>
      <w:r>
        <w:t>EAF Mills Target: &gt;90%</w:t>
      </w:r>
    </w:p>
    <w:p>
      <w:pPr>
        <w:pStyle w:val="ListBullet"/>
      </w:pPr>
      <w:r>
        <w:t>EAF steel is produced by melting scrap steel. The recycled content (post-consumer + pre-consumer) is typically between 90-98%. This is the industry standard for sustainable steel design.</w:t>
      </w:r>
    </w:p>
    <w:p>
      <w:pPr>
        <w:pStyle w:val="ListBullet"/>
      </w:pPr>
      <w:r>
        <w:t>BOF Mills Target: 20-30%</w:t>
      </w:r>
    </w:p>
    <w:p>
      <w:pPr>
        <w:pStyle w:val="ListBullet"/>
      </w:pPr>
      <w:r>
        <w:t>BOF steel primarily uses virgin iron ore. A smaller amount of scrap steel is added as a coolant, resulting in significantly lower recycled content.</w:t>
      </w:r>
    </w:p>
    <w:p>
      <w:r>
        <w:t>---</w:t>
      </w:r>
    </w:p>
    <w:p>
      <w:r>
        <w:t>#### 3. Transportation Carbon Estimate (Fabricator-to-Site)</w:t>
      </w:r>
    </w:p>
    <w:p>
      <w:r>
        <w:t>This calculation estimates the emissions from delivering the fabricated steel to the job site.</w:t>
      </w:r>
    </w:p>
    <w:p>
      <w:pPr>
        <w:pStyle w:val="ListBullet"/>
      </w:pPr>
      <w:r>
        <w:t>Distance: 900 miles</w:t>
      </w:r>
    </w:p>
    <w:p>
      <w:pPr>
        <w:pStyle w:val="ListBullet"/>
      </w:pPr>
      <w:r>
        <w:t>Tonnage: 220 tons</w:t>
      </w:r>
    </w:p>
    <w:p>
      <w:pPr>
        <w:pStyle w:val="ListBullet"/>
      </w:pPr>
      <w:r>
        <w:t>Emission Factor (Heavy-Duty Truck): ~165 gCO₂e per ton-mile</w:t>
      </w:r>
    </w:p>
    <w:p>
      <w:r>
        <w:t>Calculation: 900 miles × 220 tons × 165 gCO₂e/ton-mile = 32,670,000 gCO₂e</w:t>
      </w:r>
    </w:p>
    <w:p>
      <w:r>
        <w:t>Total Transportation Carbon: 32,670 kgCO₂e (or 32.7 metric tons of CO₂e)</w:t>
      </w:r>
    </w:p>
    <w:p>
      <w:pPr>
        <w:pStyle w:val="ListBullet"/>
      </w:pPr>
      <w:r>
        <w:t>Mitigation: While often fixed, sourcing from a fabricator closer to the project site is the most effective way to reduce this value.</w:t>
      </w:r>
    </w:p>
    <w:p>
      <w:r>
        <w:t>---</w:t>
      </w:r>
    </w:p>
    <w:p>
      <w:r>
        <w:t>#### 4. Coating VOC / Low-Emission Options</w:t>
      </w:r>
    </w:p>
    <w:p>
      <w:r>
        <w:t>A standard SSPC 3-coat system (e.g., Zinc-Rich Primer, Epoxy Intermediate, Polyurethane Topcoat) can contain significant Volatile Organic Compounds (VOCs), which are regulated air pollutants.</w:t>
      </w:r>
    </w:p>
    <w:p>
      <w:pPr>
        <w:pStyle w:val="ListBullet"/>
      </w:pPr>
      <w:r>
        <w:t>Standard System VOCs: Can range from 250 g/L to over 400 g/L.</w:t>
      </w:r>
    </w:p>
    <w:p>
      <w:pPr>
        <w:pStyle w:val="ListBullet"/>
      </w:pPr>
      <w:r>
        <w:t>Low-Emission Recommendations:</w:t>
      </w:r>
    </w:p>
    <w:p>
      <w:pPr>
        <w:pStyle w:val="ListBullet"/>
      </w:pPr>
      <w:r>
        <w:t>Specify Low-VOC Coatings: Mandate that all shop- and field-applied coatings comply with stringent environmental standards, such as SCAQMD Rule 1113 (&lt;100 g/L for most industrial coatings).</w:t>
      </w:r>
    </w:p>
    <w:p>
      <w:pPr>
        <w:pStyle w:val="ListBullet"/>
      </w:pPr>
      <w:r>
        <w:t>High-Solids Formulations: Specify high-solids epoxy and polyurethane coatings, which have less solvent and lower VOC content per unit of coverage.</w:t>
      </w:r>
    </w:p>
    <w:p>
      <w:pPr>
        <w:pStyle w:val="ListBullet"/>
      </w:pPr>
      <w:r>
        <w:t>Powder Coating: For smaller components or sections where feasible, powder coating is a zero-VOC alternative that offers excellent durability.</w:t>
      </w:r>
    </w:p>
    <w:p>
      <w:r>
        <w:t>---</w:t>
      </w:r>
    </w:p>
    <w:p>
      <w:r>
        <w:t>#### 5. Material Efficiency &amp; Waste Factor</w:t>
      </w:r>
    </w:p>
    <w:p>
      <w:r>
        <w:t>Efficient fabrication is key to minimizing waste and the associated environmental impact.</w:t>
      </w:r>
    </w:p>
    <w:p>
      <w:pPr>
        <w:pStyle w:val="ListBullet"/>
      </w:pPr>
      <w:r>
        <w:t>Typical Waste Factor: 3-5% for structural steel fabrication. For 220 tons, this equates to 6.6 - 11 tons of scrap.</w:t>
      </w:r>
    </w:p>
    <w:p>
      <w:pPr>
        <w:pStyle w:val="ListBullet"/>
      </w:pPr>
      <w:r>
        <w:t>Optimization Strategies:</w:t>
      </w:r>
    </w:p>
    <w:p>
      <w:pPr>
        <w:pStyle w:val="ListBullet"/>
      </w:pPr>
      <w:r>
        <w:t>BIM Integration: Utilize the Building Information Model (BIM) for direct-to-fabrication outputs, minimizing errors and optimizing material cuts.</w:t>
      </w:r>
    </w:p>
    <w:p>
      <w:pPr>
        <w:pStyle w:val="ListBullet"/>
      </w:pPr>
      <w:r>
        <w:t>Nesting Software: Require the fabricator to use advanced nesting software to lay out cuts on raw steel sections, maximizing yield and minimizing off-cuts.</w:t>
      </w:r>
    </w:p>
    <w:p>
      <w:pPr>
        <w:pStyle w:val="ListBullet"/>
      </w:pPr>
      <w:r>
        <w:t>Design for Standard Lengths: Where possible, design members to utilize standard mill-produced lengths to reduce cutoff waste.</w:t>
      </w:r>
    </w:p>
    <w:p>
      <w:pPr>
        <w:pStyle w:val="ListBullet"/>
      </w:pPr>
      <w:r>
        <w:t>Circularity: A major advantage of steel is that 100% of the fabrication scrap is valuable and can be collected and recycled back into the EAF steelmaking process.</w:t>
      </w:r>
    </w:p>
    <w:p>
      <w:r>
        <w:t>---</w:t>
      </w:r>
    </w:p>
    <w:p>
      <w:r>
        <w:t>#### 6. EPD / LEED / BREEAM Contribution Summary</w:t>
      </w:r>
    </w:p>
    <w:p>
      <w:r>
        <w:t>By specifying EAF steel and requiring proper documentation, this project can make a significant contribution to green building certifications like LEED v4.1.</w:t>
      </w:r>
    </w:p>
    <w:p>
      <w:r>
        <w:t>Action Item: Require a product-specific, Type III Environmental Product Declaration (EPD) from the steel mill/supplier.</w:t>
      </w:r>
    </w:p>
    <w:p>
      <w:r>
        <w:t>LEED v4.1 MR Credit Contribution:</w:t>
      </w:r>
    </w:p>
    <w:p>
      <w:pPr>
        <w:pStyle w:val="ListBullet"/>
      </w:pPr>
      <w:r>
        <w:t>MRc: Building Life-Cycle Impact Reduction (Option 4, Whole-Building LCA):</w:t>
      </w:r>
    </w:p>
    <w:p>
      <w:pPr>
        <w:pStyle w:val="ListBullet"/>
      </w:pPr>
      <w:r>
        <w:t>MAJOR CONTRIBUTION. Using EAF steel with its low embodied carbon value will dramatically reduce the project's Global Warming Potential (GWP) in a whole-building LCA, making it much easier to achieve the required 10% reduction compared to a baseline (which would assume industry-average or BOF steel).</w:t>
      </w:r>
    </w:p>
    <w:p>
      <w:pPr>
        <w:pStyle w:val="ListBullet"/>
      </w:pPr>
      <w:r>
        <w:t>MRc: Building Product Disclosure and Optimization - EPDs (Option 1):</w:t>
      </w:r>
    </w:p>
    <w:p>
      <w:pPr>
        <w:pStyle w:val="ListBullet"/>
      </w:pPr>
      <w:r>
        <w:t>CONTRIBUTES 1 PRODUCT. Providing a product-specific EPD for the 220 tons of structural steel contributes one product towards the 20 needed for this credit.</w:t>
      </w:r>
    </w:p>
    <w:p>
      <w:pPr>
        <w:pStyle w:val="ListBullet"/>
      </w:pPr>
      <w:r>
        <w:t>MRc: Building Product Disclosure and Optimization - Sourcing of Raw Materials (Option 2):</w:t>
      </w:r>
    </w:p>
    <w:p>
      <w:pPr>
        <w:pStyle w:val="ListBullet"/>
      </w:pPr>
      <w:r>
        <w:t>STRONG CONTRIBUTION. EAF steel with &gt;90% recycled content (mostly post-consumer) will significantly contribute to this credit. The value of the steel package is multiplied by its recycled content percentage, helping the project meet the threshold of 25% (by cost) of total building materials.</w:t>
      </w:r>
    </w:p>
    <w:p>
      <w:pPr>
        <w:pStyle w:val="ListBullet"/>
      </w:pPr>
      <w:r>
        <w:t>EQc: Low-Emitting Materials:</w:t>
      </w:r>
    </w:p>
    <w:p>
      <w:pPr>
        <w:pStyle w:val="ListBullet"/>
      </w:pPr>
      <w:r>
        <w:t>Specifying and documenting the use of low-VOC coatings for all shop and field applications will contribute to earning this credit.</w:t>
      </w:r>
    </w:p>
    <w:p>
      <w:r>
        <w:t>Summary: The strategic specification of EAF-produced structural steel, supported by an EPD and paired with low-VOC coatings, is one of the most impactful decisions for improving the sustainability profile of the building structure and maximizing contributions to LEED Materials &amp; Resources (MR) credits.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