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4124C" w14:textId="77777777" w:rsidR="004F4FC2" w:rsidRDefault="004F4FC2" w:rsidP="004F4FC2">
      <w:pPr>
        <w:pStyle w:val="Textoindependiente"/>
      </w:pPr>
      <w:bookmarkStart w:id="0" w:name="_Hlk87826127"/>
      <w:r w:rsidRPr="00C96A99">
        <w:rPr>
          <w:b/>
          <w:bCs/>
        </w:rPr>
        <w:t>Tabla 1</w:t>
      </w:r>
      <w:r w:rsidRPr="00C96A99">
        <w:t xml:space="preserve">. </w:t>
      </w:r>
      <w:r>
        <w:t xml:space="preserve">Parámetros psicométricos ajustados por zonas y grupos etarios. </w:t>
      </w:r>
    </w:p>
    <w:tbl>
      <w:tblPr>
        <w:tblW w:w="5005" w:type="pct"/>
        <w:tblInd w:w="-15" w:type="dxa"/>
        <w:tblBorders>
          <w:top w:val="single" w:sz="12" w:space="0" w:color="A8A8A8"/>
          <w:bottom w:val="single" w:sz="12" w:space="0" w:color="A8A8A8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"/>
        <w:gridCol w:w="696"/>
        <w:gridCol w:w="83"/>
        <w:gridCol w:w="18"/>
        <w:gridCol w:w="1893"/>
        <w:gridCol w:w="18"/>
        <w:gridCol w:w="2619"/>
        <w:gridCol w:w="18"/>
        <w:gridCol w:w="1875"/>
        <w:gridCol w:w="18"/>
        <w:gridCol w:w="1875"/>
        <w:gridCol w:w="18"/>
        <w:gridCol w:w="2468"/>
        <w:gridCol w:w="18"/>
        <w:gridCol w:w="1362"/>
        <w:gridCol w:w="21"/>
      </w:tblGrid>
      <w:tr w:rsidR="004F4FC2" w:rsidRPr="001D064C" w14:paraId="30649FBE" w14:textId="77777777" w:rsidTr="00C45679">
        <w:trPr>
          <w:gridBefore w:val="1"/>
          <w:wBefore w:w="7" w:type="pct"/>
          <w:trHeight w:val="341"/>
          <w:tblHeader/>
        </w:trPr>
        <w:tc>
          <w:tcPr>
            <w:tcW w:w="267" w:type="pct"/>
            <w:tcBorders>
              <w:left w:val="nil"/>
              <w:right w:val="nil"/>
            </w:tcBorders>
            <w:shd w:val="clear" w:color="auto" w:fill="FFFFFF"/>
          </w:tcPr>
          <w:p w14:paraId="047ECA00" w14:textId="77777777" w:rsidR="004F4FC2" w:rsidRPr="00411D6C" w:rsidRDefault="004F4FC2" w:rsidP="00C45679">
            <w:pPr>
              <w:spacing w:after="0"/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73" w:type="pct"/>
            <w:gridSpan w:val="4"/>
            <w:tcBorders>
              <w:left w:val="nil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</w:tcPr>
          <w:p w14:paraId="0F18140E" w14:textId="561D1504" w:rsidR="004F4FC2" w:rsidRPr="00411D6C" w:rsidRDefault="004F4FC2" w:rsidP="00C45679">
            <w:pPr>
              <w:spacing w:after="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3953" w:type="pct"/>
            <w:gridSpan w:val="10"/>
            <w:tcBorders>
              <w:top w:val="single" w:sz="12" w:space="0" w:color="A8A8A8"/>
              <w:bottom w:val="single" w:sz="4" w:space="0" w:color="D0CECE" w:themeColor="background2" w:themeShade="E6"/>
            </w:tcBorders>
            <w:shd w:val="clear" w:color="auto" w:fill="FFFFFF"/>
            <w:tcMar>
              <w:top w:w="0" w:type="dxa"/>
              <w:left w:w="60" w:type="dxa"/>
              <w:bottom w:w="0" w:type="dxa"/>
              <w:right w:w="0" w:type="dxa"/>
            </w:tcMar>
            <w:vAlign w:val="center"/>
            <w:hideMark/>
          </w:tcPr>
          <w:p w14:paraId="29C61D73" w14:textId="77777777" w:rsidR="004F4FC2" w:rsidRPr="00411D6C" w:rsidRDefault="004F4FC2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Grupos etarios</w:t>
            </w:r>
          </w:p>
        </w:tc>
      </w:tr>
      <w:tr w:rsidR="00C45679" w:rsidRPr="001D064C" w14:paraId="6C0B7B01" w14:textId="77777777" w:rsidTr="00C45679">
        <w:trPr>
          <w:gridBefore w:val="1"/>
          <w:wBefore w:w="7" w:type="pct"/>
          <w:trHeight w:val="534"/>
          <w:tblHeader/>
        </w:trPr>
        <w:tc>
          <w:tcPr>
            <w:tcW w:w="306" w:type="pct"/>
            <w:gridSpan w:val="3"/>
            <w:tcBorders>
              <w:left w:val="nil"/>
              <w:bottom w:val="single" w:sz="6" w:space="0" w:color="D3D3D3"/>
              <w:right w:val="nil"/>
            </w:tcBorders>
            <w:shd w:val="clear" w:color="auto" w:fill="FFFFFF"/>
          </w:tcPr>
          <w:p w14:paraId="1F510322" w14:textId="77777777" w:rsidR="00C45679" w:rsidRPr="00411D6C" w:rsidRDefault="00C45679" w:rsidP="00C45679">
            <w:pPr>
              <w:spacing w:after="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left w:val="nil"/>
              <w:bottom w:val="single" w:sz="6" w:space="0" w:color="D3D3D3"/>
              <w:right w:val="nil"/>
            </w:tcBorders>
            <w:shd w:val="clear" w:color="auto" w:fill="FFFFFF"/>
            <w:vAlign w:val="bottom"/>
            <w:hideMark/>
          </w:tcPr>
          <w:p w14:paraId="01F1F14B" w14:textId="76D87B00" w:rsidR="00C45679" w:rsidRPr="00411D6C" w:rsidRDefault="00C45679" w:rsidP="00C45679">
            <w:pPr>
              <w:spacing w:after="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Característica</w:t>
            </w:r>
          </w:p>
        </w:tc>
        <w:tc>
          <w:tcPr>
            <w:tcW w:w="1013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9C277BA" w14:textId="77777777" w:rsidR="00C45679" w:rsidRPr="00411D6C" w:rsidRDefault="00C45679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18-25 años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br/>
              <w:t>N = 178 (28.8%)</w:t>
            </w:r>
          </w:p>
        </w:tc>
        <w:tc>
          <w:tcPr>
            <w:tcW w:w="727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7477FE39" w14:textId="77777777" w:rsidR="00C45679" w:rsidRPr="00411D6C" w:rsidRDefault="00C45679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26-40 años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br/>
              <w:t>N = 212 (34.4%)</w:t>
            </w:r>
          </w:p>
        </w:tc>
        <w:tc>
          <w:tcPr>
            <w:tcW w:w="727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A60D7E1" w14:textId="77777777" w:rsidR="00C45679" w:rsidRPr="00411D6C" w:rsidRDefault="00C45679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41-50 años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br/>
              <w:t>N = 129 (20.9%)</w:t>
            </w:r>
          </w:p>
        </w:tc>
        <w:tc>
          <w:tcPr>
            <w:tcW w:w="955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3046A04A" w14:textId="77777777" w:rsidR="00C45679" w:rsidRPr="00411D6C" w:rsidRDefault="00C45679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&gt;50 años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br/>
              <w:t>N = 98 (15.9%)</w:t>
            </w:r>
          </w:p>
        </w:tc>
        <w:tc>
          <w:tcPr>
            <w:tcW w:w="531" w:type="pct"/>
            <w:gridSpan w:val="2"/>
            <w:tcBorders>
              <w:top w:val="single" w:sz="4" w:space="0" w:color="D0CECE" w:themeColor="background2" w:themeShade="E6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75" w:type="dxa"/>
              <w:left w:w="75" w:type="dxa"/>
              <w:bottom w:w="90" w:type="dxa"/>
              <w:right w:w="75" w:type="dxa"/>
            </w:tcMar>
            <w:vAlign w:val="bottom"/>
            <w:hideMark/>
          </w:tcPr>
          <w:p w14:paraId="208010A6" w14:textId="77777777" w:rsidR="00C45679" w:rsidRPr="00411D6C" w:rsidRDefault="00C45679" w:rsidP="00C45679">
            <w:pPr>
              <w:spacing w:after="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b/>
                <w:bCs/>
                <w:color w:val="333333"/>
                <w:sz w:val="22"/>
                <w:szCs w:val="22"/>
                <w:lang w:eastAsia="es-MX"/>
              </w:rPr>
              <w:t>p-valor</w:t>
            </w:r>
          </w:p>
        </w:tc>
      </w:tr>
      <w:tr w:rsidR="00C45679" w:rsidRPr="001D064C" w14:paraId="76F98978" w14:textId="77777777" w:rsidTr="00C45679">
        <w:trPr>
          <w:gridBefore w:val="1"/>
          <w:wBefore w:w="7" w:type="pct"/>
          <w:trHeight w:val="20"/>
        </w:trPr>
        <w:tc>
          <w:tcPr>
            <w:tcW w:w="306" w:type="pct"/>
            <w:gridSpan w:val="3"/>
            <w:vMerge w:val="restart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vAlign w:val="center"/>
          </w:tcPr>
          <w:p w14:paraId="0F7AD93E" w14:textId="77777777" w:rsidR="00C45679" w:rsidRPr="00411D6C" w:rsidRDefault="00C45679" w:rsidP="00C45679">
            <w:pPr>
              <w:spacing w:after="0" w:line="240" w:lineRule="auto"/>
              <w:ind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EC</w:t>
            </w: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6ECC702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Sexo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49B8D5C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22"/>
                <w:szCs w:val="22"/>
                <w:lang w:eastAsia="es-MX"/>
              </w:rPr>
            </w:pP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E8B098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22"/>
                <w:szCs w:val="22"/>
                <w:lang w:eastAsia="es-MX"/>
              </w:rPr>
            </w:pP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6F8F9FA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22"/>
                <w:szCs w:val="22"/>
                <w:lang w:eastAsia="es-MX"/>
              </w:rPr>
            </w:pP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89AAA5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eastAsia="Times New Roman" w:cs="Times New Roman"/>
                <w:sz w:val="22"/>
                <w:szCs w:val="22"/>
                <w:lang w:eastAsia="es-MX"/>
              </w:rPr>
            </w:pPr>
          </w:p>
        </w:tc>
        <w:tc>
          <w:tcPr>
            <w:tcW w:w="531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848546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0.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814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a</w:t>
            </w:r>
          </w:p>
        </w:tc>
      </w:tr>
      <w:tr w:rsidR="00C45679" w:rsidRPr="001D064C" w14:paraId="06FD182D" w14:textId="77777777" w:rsidTr="00C45679">
        <w:trPr>
          <w:gridBefore w:val="1"/>
          <w:wBefore w:w="7" w:type="pct"/>
          <w:trHeight w:val="20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5E1BC5E4" w14:textId="77777777" w:rsidR="00C45679" w:rsidRPr="00411D6C" w:rsidRDefault="00C45679" w:rsidP="00C45679">
            <w:pPr>
              <w:spacing w:after="0" w:line="240" w:lineRule="auto"/>
              <w:ind w:left="150" w:right="150" w:firstLine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A83A699" w14:textId="77777777" w:rsidR="00C45679" w:rsidRPr="00411D6C" w:rsidRDefault="00C45679" w:rsidP="00C45679">
            <w:pPr>
              <w:spacing w:after="0" w:line="240" w:lineRule="auto"/>
              <w:ind w:left="150" w:right="150" w:firstLine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Mujer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79B359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113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862CA6C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10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00FC8DC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73D76DD8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531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A9DE8EA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</w:tr>
      <w:tr w:rsidR="00C45679" w:rsidRPr="001D064C" w14:paraId="097046E0" w14:textId="77777777" w:rsidTr="00C45679">
        <w:trPr>
          <w:gridBefore w:val="1"/>
          <w:wBefore w:w="7" w:type="pct"/>
          <w:trHeight w:val="20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6952E8B" w14:textId="77777777" w:rsidR="00C45679" w:rsidRPr="00411D6C" w:rsidRDefault="00C45679" w:rsidP="00C45679">
            <w:pPr>
              <w:spacing w:after="0" w:line="240" w:lineRule="auto"/>
              <w:ind w:left="150" w:right="150" w:firstLine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4276D2E" w14:textId="77777777" w:rsidR="00C45679" w:rsidRPr="00411D6C" w:rsidRDefault="00C45679" w:rsidP="00C45679">
            <w:pPr>
              <w:spacing w:after="0" w:line="240" w:lineRule="auto"/>
              <w:ind w:left="150" w:right="150" w:firstLine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Hombre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79439A7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C74A17F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64593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10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(2%)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1BF1873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531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B19D79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</w:tr>
      <w:tr w:rsidR="00C45679" w:rsidRPr="001D064C" w14:paraId="5748C60E" w14:textId="77777777" w:rsidTr="00C45679">
        <w:trPr>
          <w:gridBefore w:val="1"/>
          <w:wBefore w:w="7" w:type="pct"/>
          <w:trHeight w:val="20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  <w:vAlign w:val="center"/>
          </w:tcPr>
          <w:p w14:paraId="335BA763" w14:textId="77777777" w:rsidR="00C45679" w:rsidRPr="00411D6C" w:rsidRDefault="00C45679" w:rsidP="00C45679">
            <w:pPr>
              <w:spacing w:after="0" w:line="240" w:lineRule="auto"/>
              <w:ind w:left="150"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E315AA7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Puntaje BAI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66FA2C5" w14:textId="77777777" w:rsidR="00C45679" w:rsidRPr="005A433D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(1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softHyphen/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softHyphen/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x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3C41AD6" w14:textId="77777777" w:rsidR="00C45679" w:rsidRPr="005A433D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9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(1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1.3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y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465138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65A6A423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3.5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6.3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531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44F3C7E7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&lt;0.001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b</w:t>
            </w:r>
          </w:p>
        </w:tc>
      </w:tr>
      <w:tr w:rsidR="00C45679" w:rsidRPr="001D064C" w14:paraId="1A8A6F8A" w14:textId="77777777" w:rsidTr="00C45679">
        <w:trPr>
          <w:gridBefore w:val="1"/>
          <w:wBefore w:w="7" w:type="pct"/>
          <w:trHeight w:val="23"/>
        </w:trPr>
        <w:tc>
          <w:tcPr>
            <w:tcW w:w="306" w:type="pct"/>
            <w:gridSpan w:val="3"/>
            <w:vMerge/>
            <w:tcBorders>
              <w:left w:val="nil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1DE2D876" w14:textId="77777777" w:rsidR="00C45679" w:rsidRPr="00411D6C" w:rsidRDefault="00C45679" w:rsidP="00C45679">
            <w:pPr>
              <w:spacing w:after="0" w:line="240" w:lineRule="auto"/>
              <w:ind w:left="150"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296E463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Puntaje PSQI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11C4625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10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5FC6151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8.5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2E2E3A7E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10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3E86B3FD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(6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.3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531" w:type="pct"/>
            <w:gridSpan w:val="2"/>
            <w:tcBorders>
              <w:top w:val="single" w:sz="6" w:space="0" w:color="D3D3D3"/>
              <w:left w:val="nil"/>
              <w:bottom w:val="single" w:sz="4" w:space="0" w:color="auto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  <w:hideMark/>
          </w:tcPr>
          <w:p w14:paraId="50B3BDF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0.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075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b</w:t>
            </w:r>
          </w:p>
        </w:tc>
      </w:tr>
      <w:tr w:rsidR="00C45679" w:rsidRPr="001D064C" w14:paraId="68B8BF21" w14:textId="77777777" w:rsidTr="00C45679">
        <w:trPr>
          <w:gridAfter w:val="1"/>
          <w:wAfter w:w="8" w:type="pct"/>
          <w:trHeight w:val="23"/>
        </w:trPr>
        <w:tc>
          <w:tcPr>
            <w:tcW w:w="306" w:type="pct"/>
            <w:gridSpan w:val="3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vAlign w:val="center"/>
          </w:tcPr>
          <w:p w14:paraId="4BE5C252" w14:textId="77777777" w:rsidR="00C45679" w:rsidRPr="00411D6C" w:rsidRDefault="00C45679" w:rsidP="00C45679">
            <w:pPr>
              <w:spacing w:after="0" w:line="240" w:lineRule="auto"/>
              <w:ind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SC</w:t>
            </w:r>
          </w:p>
        </w:tc>
        <w:tc>
          <w:tcPr>
            <w:tcW w:w="734" w:type="pct"/>
            <w:gridSpan w:val="2"/>
            <w:tcBorders>
              <w:top w:val="single" w:sz="4" w:space="0" w:color="auto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85C9EAD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Sexo</w:t>
            </w:r>
          </w:p>
        </w:tc>
        <w:tc>
          <w:tcPr>
            <w:tcW w:w="1013" w:type="pct"/>
            <w:gridSpan w:val="2"/>
            <w:tcBorders>
              <w:top w:val="single" w:sz="4" w:space="0" w:color="auto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2440395A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27" w:type="pct"/>
            <w:gridSpan w:val="2"/>
            <w:tcBorders>
              <w:top w:val="single" w:sz="4" w:space="0" w:color="auto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EE4F7C1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27" w:type="pct"/>
            <w:gridSpan w:val="2"/>
            <w:tcBorders>
              <w:top w:val="single" w:sz="4" w:space="0" w:color="auto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1017A9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955" w:type="pct"/>
            <w:gridSpan w:val="2"/>
            <w:tcBorders>
              <w:top w:val="single" w:sz="4" w:space="0" w:color="auto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70C88D4D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530" w:type="pct"/>
            <w:gridSpan w:val="2"/>
            <w:tcBorders>
              <w:top w:val="single" w:sz="4" w:space="0" w:color="auto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58E1C7BF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0.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808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a</w:t>
            </w:r>
          </w:p>
        </w:tc>
      </w:tr>
      <w:tr w:rsidR="00C45679" w:rsidRPr="001D064C" w14:paraId="754C12A5" w14:textId="77777777" w:rsidTr="00C45679">
        <w:trPr>
          <w:gridAfter w:val="1"/>
          <w:wAfter w:w="8" w:type="pct"/>
          <w:trHeight w:val="23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</w:tcPr>
          <w:p w14:paraId="12893F8A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36574FD9" w14:textId="74460F21" w:rsidR="00C45679" w:rsidRPr="00411D6C" w:rsidRDefault="00C45679" w:rsidP="00C45679">
            <w:pPr>
              <w:spacing w:after="0" w:line="240" w:lineRule="auto"/>
              <w:ind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       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Mujer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E9F12F2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7A6A2F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94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5EC6710F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7DEC4767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49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530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6C7C3D64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</w:tr>
      <w:tr w:rsidR="00C45679" w:rsidRPr="001D064C" w14:paraId="34759D43" w14:textId="77777777" w:rsidTr="00C45679">
        <w:trPr>
          <w:gridAfter w:val="1"/>
          <w:wAfter w:w="8" w:type="pct"/>
          <w:trHeight w:val="23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</w:tcPr>
          <w:p w14:paraId="027444BF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17E1027" w14:textId="5CA3FDD1" w:rsidR="00C45679" w:rsidRPr="00411D6C" w:rsidRDefault="00C45679" w:rsidP="00C45679">
            <w:pPr>
              <w:spacing w:after="0" w:line="240" w:lineRule="auto"/>
              <w:ind w:left="150" w:right="150"/>
              <w:jc w:val="left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   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Hombre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1C3E8DED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(2%)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26D77AD7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40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3390575C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374225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21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3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%)</w:t>
            </w:r>
          </w:p>
        </w:tc>
        <w:tc>
          <w:tcPr>
            <w:tcW w:w="530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59553240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</w:tr>
      <w:tr w:rsidR="00C45679" w:rsidRPr="001D064C" w14:paraId="5AC06C59" w14:textId="77777777" w:rsidTr="00C45679">
        <w:trPr>
          <w:gridAfter w:val="1"/>
          <w:wAfter w:w="8" w:type="pct"/>
          <w:trHeight w:val="23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</w:tcPr>
          <w:p w14:paraId="1F1EEF47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00CE4BC4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Puntaje BAI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053D50EF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9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12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x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softHyphen/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softHyphen/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1C56932E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11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0590D15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4.5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3357B01D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530" w:type="pct"/>
            <w:gridSpan w:val="2"/>
            <w:tcBorders>
              <w:top w:val="single" w:sz="6" w:space="0" w:color="D3D3D3"/>
              <w:left w:val="nil"/>
              <w:bottom w:val="single" w:sz="6" w:space="0" w:color="D3D3D3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460C23A6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0.017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b</w:t>
            </w:r>
          </w:p>
        </w:tc>
      </w:tr>
      <w:tr w:rsidR="00C45679" w:rsidRPr="001D064C" w14:paraId="1A2CB1A3" w14:textId="77777777" w:rsidTr="00C45679">
        <w:trPr>
          <w:gridAfter w:val="1"/>
          <w:wAfter w:w="8" w:type="pct"/>
          <w:trHeight w:val="23"/>
        </w:trPr>
        <w:tc>
          <w:tcPr>
            <w:tcW w:w="306" w:type="pct"/>
            <w:gridSpan w:val="3"/>
            <w:vMerge/>
            <w:tcBorders>
              <w:left w:val="nil"/>
              <w:right w:val="nil"/>
            </w:tcBorders>
            <w:shd w:val="clear" w:color="auto" w:fill="FFFFFF"/>
          </w:tcPr>
          <w:p w14:paraId="23097264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</w:p>
        </w:tc>
        <w:tc>
          <w:tcPr>
            <w:tcW w:w="734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3C763AEC" w14:textId="77777777" w:rsidR="00C45679" w:rsidRPr="00411D6C" w:rsidRDefault="00C45679" w:rsidP="00C45679">
            <w:pPr>
              <w:spacing w:after="0" w:line="240" w:lineRule="auto"/>
              <w:ind w:left="150" w:right="150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Puntaje PSQI</w:t>
            </w:r>
          </w:p>
        </w:tc>
        <w:tc>
          <w:tcPr>
            <w:tcW w:w="1013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1EBF4C59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7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4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2BE0B94A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727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6731263F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8.5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6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955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63951AF9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8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 xml:space="preserve"> (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5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)</w:t>
            </w:r>
          </w:p>
        </w:tc>
        <w:tc>
          <w:tcPr>
            <w:tcW w:w="530" w:type="pct"/>
            <w:gridSpan w:val="2"/>
            <w:tcBorders>
              <w:top w:val="single" w:sz="6" w:space="0" w:color="D3D3D3"/>
              <w:left w:val="nil"/>
              <w:right w:val="nil"/>
            </w:tcBorders>
            <w:shd w:val="clear" w:color="auto" w:fill="FFFFFF"/>
            <w:tcMar>
              <w:top w:w="120" w:type="dxa"/>
              <w:left w:w="75" w:type="dxa"/>
              <w:bottom w:w="120" w:type="dxa"/>
              <w:right w:w="75" w:type="dxa"/>
            </w:tcMar>
            <w:vAlign w:val="center"/>
          </w:tcPr>
          <w:p w14:paraId="6A38A55C" w14:textId="77777777" w:rsidR="00C45679" w:rsidRPr="00411D6C" w:rsidRDefault="00C45679" w:rsidP="00C45679">
            <w:pPr>
              <w:spacing w:after="0" w:line="240" w:lineRule="auto"/>
              <w:ind w:left="150" w:right="150"/>
              <w:jc w:val="center"/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</w:pP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0.</w:t>
            </w:r>
            <w:r>
              <w:rPr>
                <w:rFonts w:ascii="Times" w:eastAsia="Times New Roman" w:hAnsi="Times" w:cs="Segoe UI"/>
                <w:color w:val="333333"/>
                <w:sz w:val="22"/>
                <w:szCs w:val="22"/>
                <w:lang w:eastAsia="es-MX"/>
              </w:rPr>
              <w:t>519</w:t>
            </w:r>
            <w:r w:rsidRPr="00411D6C">
              <w:rPr>
                <w:rFonts w:ascii="Times" w:eastAsia="Times New Roman" w:hAnsi="Times" w:cs="Segoe UI"/>
                <w:color w:val="333333"/>
                <w:sz w:val="22"/>
                <w:szCs w:val="22"/>
                <w:vertAlign w:val="superscript"/>
                <w:lang w:eastAsia="es-MX"/>
              </w:rPr>
              <w:t>b</w:t>
            </w:r>
          </w:p>
        </w:tc>
      </w:tr>
    </w:tbl>
    <w:p w14:paraId="797CE3A2" w14:textId="345747AA" w:rsidR="00552B73" w:rsidRDefault="004F4FC2" w:rsidP="00C45679">
      <w:pPr>
        <w:pStyle w:val="Textoindependiente"/>
      </w:pPr>
      <w:r w:rsidRPr="00C96A99">
        <w:t xml:space="preserve">Se muestran los valores globales de la muestra, así como los datos agrupados por rango etario como </w:t>
      </w:r>
      <w:proofErr w:type="spellStart"/>
      <w:r w:rsidRPr="00C96A99">
        <w:rPr>
          <w:i/>
          <w:iCs/>
        </w:rPr>
        <w:t>Mdn</w:t>
      </w:r>
      <w:proofErr w:type="spellEnd"/>
      <w:r w:rsidRPr="00C96A99">
        <w:t xml:space="preserve"> (</w:t>
      </w:r>
      <w:r w:rsidRPr="00C96A99">
        <w:rPr>
          <w:i/>
          <w:iCs/>
        </w:rPr>
        <w:t>IQR</w:t>
      </w:r>
      <w:r w:rsidRPr="00C96A99">
        <w:t xml:space="preserve">) para puntaje de BAI y PSQI. Para las variables sexo y grupos EC y SC se definen como n (%). Los valores-p corresponden a (a) la prueba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χ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C96A99">
        <w:t xml:space="preserve"> de </w:t>
      </w:r>
      <w:r w:rsidRPr="00C96A99">
        <w:rPr>
          <w:i/>
          <w:iCs/>
        </w:rPr>
        <w:t>Pearson</w:t>
      </w:r>
      <w:r w:rsidRPr="00C96A99">
        <w:t xml:space="preserve"> y (b) </w:t>
      </w:r>
      <w:r w:rsidRPr="00C96A99">
        <w:lastRenderedPageBreak/>
        <w:t xml:space="preserve">la prueba de suma de rangos de </w:t>
      </w:r>
      <w:r w:rsidRPr="00C96A99">
        <w:rPr>
          <w:i/>
          <w:iCs/>
        </w:rPr>
        <w:t>Wilcoxon</w:t>
      </w:r>
      <w:r w:rsidRPr="00C96A99">
        <w:t>.</w:t>
      </w:r>
      <w:r>
        <w:t xml:space="preserve"> En la categoría 18-25 años, (x) representa diferencias significativas con los grupos etarios: 26-40 años, 41-50 años y &gt;50 años. En la categoría 25-40 años, (y) simboliza la diferencia significativa con el grupo etario &gt;50 año</w:t>
      </w:r>
      <w:bookmarkEnd w:id="0"/>
      <w:r>
        <w:t>s</w:t>
      </w:r>
    </w:p>
    <w:sectPr w:rsidR="00552B73" w:rsidSect="00C4567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FC2"/>
    <w:rsid w:val="004F4FC2"/>
    <w:rsid w:val="00552B73"/>
    <w:rsid w:val="00C45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F71A58"/>
  <w15:chartTrackingRefBased/>
  <w15:docId w15:val="{B8F61E0E-4486-480D-9DDB-529EA7E403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4FC2"/>
    <w:pPr>
      <w:spacing w:after="200" w:line="360" w:lineRule="auto"/>
      <w:jc w:val="both"/>
    </w:pPr>
    <w:rPr>
      <w:rFonts w:ascii="Times New Roman" w:hAnsi="Times New Roman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rsid w:val="004F4FC2"/>
    <w:pPr>
      <w:spacing w:before="180" w:after="180"/>
    </w:pPr>
  </w:style>
  <w:style w:type="character" w:customStyle="1" w:styleId="TextoindependienteCar">
    <w:name w:val="Texto independiente Car"/>
    <w:basedOn w:val="Fuentedeprrafopredeter"/>
    <w:link w:val="Textoindependiente"/>
    <w:rsid w:val="004F4FC2"/>
    <w:rPr>
      <w:rFonts w:ascii="Times New Roman" w:hAnsi="Times New Roman"/>
      <w:sz w:val="24"/>
      <w:szCs w:val="24"/>
    </w:rPr>
  </w:style>
  <w:style w:type="character" w:styleId="Refdecomentario">
    <w:name w:val="annotation reference"/>
    <w:basedOn w:val="Fuentedeprrafopredeter"/>
    <w:semiHidden/>
    <w:unhideWhenUsed/>
    <w:rsid w:val="004F4FC2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4F4FC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4F4FC2"/>
    <w:rPr>
      <w:rFonts w:ascii="Times New Roman" w:hAnsi="Times New Roman"/>
      <w:sz w:val="20"/>
      <w:szCs w:val="20"/>
    </w:rPr>
  </w:style>
  <w:style w:type="character" w:styleId="Nmerodelnea">
    <w:name w:val="line number"/>
    <w:basedOn w:val="Fuentedeprrafopredeter"/>
    <w:uiPriority w:val="99"/>
    <w:semiHidden/>
    <w:unhideWhenUsed/>
    <w:rsid w:val="004F4F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183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Caren</dc:creator>
  <cp:keywords/>
  <dc:description/>
  <cp:lastModifiedBy>Matías A. Castillo Aguilar</cp:lastModifiedBy>
  <cp:revision>2</cp:revision>
  <dcterms:created xsi:type="dcterms:W3CDTF">2021-11-15T05:38:00Z</dcterms:created>
  <dcterms:modified xsi:type="dcterms:W3CDTF">2021-11-15T05:52:00Z</dcterms:modified>
</cp:coreProperties>
</file>