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64A56"/>
          <w:sz w:val="40"/>
        </w:rPr>
        <w:t>Machine Learning Engineer Assessment Report</w:t>
      </w:r>
    </w:p>
    <w:p>
      <w:r>
        <w:rPr>
          <w:rFonts w:ascii="Arial" w:hAnsi="Arial"/>
          <w:b/>
          <w:color w:val="2E8B57"/>
          <w:sz w:val="22"/>
        </w:rPr>
        <w:t>Freight Rate Prediction &amp; December 2025 Forecasting | Spotter Assessment</w:t>
      </w:r>
    </w:p>
    <w:p>
      <w:pPr>
        <w:spacing w:before="240" w:after="80"/>
      </w:pPr>
      <w:r>
        <w:rPr>
          <w:rFonts w:ascii="Arial" w:hAnsi="Arial"/>
          <w:b/>
          <w:color w:val="064A56"/>
          <w:sz w:val="26"/>
        </w:rPr>
        <w:t>Executive Summary</w:t>
      </w:r>
    </w:p>
    <w:p>
      <w:pPr>
        <w:spacing w:after="80"/>
      </w:pPr>
      <w:r>
        <w:rPr>
          <w:rFonts w:ascii="Arial" w:hAnsi="Arial"/>
          <w:sz w:val="20"/>
        </w:rPr>
        <w:t>This report presents an end-to-end Machine Learning pipeline for predicting freight rates across US shipping lanes. Evaluating historical data (Jan–Oct 2025), out-of-time validation loads (Nov–Dec 2025), and a fixed lane December 2025 forecasting benchmark, our solution achieves an out-of-time Mean Absolute Error (MAE) of $151.59, MAPE of 6.98%, and R² of 0.8133.</w:t>
      </w:r>
    </w:p>
    <w:p>
      <w:pPr>
        <w:spacing w:before="240" w:after="80"/>
      </w:pPr>
      <w:r>
        <w:rPr>
          <w:rFonts w:ascii="Arial" w:hAnsi="Arial"/>
          <w:b/>
          <w:color w:val="064A56"/>
          <w:sz w:val="26"/>
        </w:rPr>
        <w:t>1. Validation Approach &amp; Train/Test Split</w:t>
      </w:r>
    </w:p>
    <w:p>
      <w:pPr>
        <w:spacing w:after="80"/>
      </w:pPr>
      <w:r>
        <w:rPr>
          <w:rFonts w:ascii="Arial" w:hAnsi="Arial"/>
          <w:sz w:val="20"/>
        </w:rPr>
        <w:t>Temporal Out-of-Time Validation Scheme: To prevent data leakage and evaluate real-world out-of-time generalization, we established a temporal split: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Training Set (Jan 1 – Aug 31, 2025): 38,477 loads (80.2%) used for model training.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Validation Holdout (Sep 1 – Oct 31, 2025): 9,523 loads (19.8%) used for out-of-time evaluation.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Final Retraining: Full 48,000 labeled loads used to train the production ensemble model.</w:t>
      </w:r>
    </w:p>
    <w:p>
      <w:pPr>
        <w:spacing w:after="80"/>
      </w:pPr>
      <w:r>
        <w:rPr>
          <w:rFonts w:ascii="Arial" w:hAnsi="Arial"/>
          <w:sz w:val="20"/>
        </w:rPr>
        <w:t>Rate Per Mile (RPM) Target Formulation: We modeled Rate Per Mile (RPM = posted_rate / distance), stabilizing target variance across short and long haul distances.</w:t>
      </w:r>
    </w:p>
    <w:p>
      <w:pPr>
        <w:spacing w:before="240" w:after="80"/>
      </w:pPr>
      <w:r>
        <w:rPr>
          <w:rFonts w:ascii="Arial" w:hAnsi="Arial"/>
          <w:b/>
          <w:color w:val="064A56"/>
          <w:sz w:val="26"/>
        </w:rPr>
        <w:t>2. Data Quality &amp; Exploratory Data Analysis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Missing Values: Missing weights were imputed using equipment medians (Dry Van: 32,000 lbs, Reefer: 35,000 lbs, Flatbed: 40,000 lbs). Missing market_index values were temporal forward-filled.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Spatial Check: Haversine distance correlated 0.9995 with reported distance, with 1.19x circuity factor.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Equipment Rates: Reefer ($2.42/mi) &gt; Flatbed ($2.31/mi) &gt; Dry Van ($2.12/mi).</w:t>
      </w:r>
    </w:p>
    <w:p>
      <w:pPr>
        <w:spacing w:before="240" w:after="80"/>
      </w:pPr>
      <w:r>
        <w:rPr>
          <w:rFonts w:ascii="Arial" w:hAnsi="Arial"/>
          <w:b/>
          <w:color w:val="064A56"/>
          <w:sz w:val="26"/>
        </w:rPr>
        <w:t>3. Feature Engineering Architecture</w:t>
      </w:r>
    </w:p>
    <w:p>
      <w:pPr>
        <w:spacing w:after="80"/>
      </w:pPr>
      <w:r>
        <w:rPr>
          <w:rFonts w:ascii="Arial" w:hAnsi="Arial"/>
          <w:sz w:val="20"/>
        </w:rPr>
        <w:t>32 engineered features were constructed across spatial, temporal, load density, and Bayesian target encoding pillars.</w:t>
      </w:r>
    </w:p>
    <w:p>
      <w:pPr>
        <w:spacing w:before="240" w:after="80"/>
      </w:pPr>
      <w:r>
        <w:rPr>
          <w:rFonts w:ascii="Arial" w:hAnsi="Arial"/>
          <w:b/>
          <w:color w:val="064A56"/>
          <w:sz w:val="26"/>
        </w:rPr>
        <w:t>4. Model Selection &amp; Benchmark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rFonts w:ascii="Arial" w:hAnsi="Arial"/>
                <w:b/>
                <w:sz w:val="17"/>
              </w:rPr>
              <w:t>Model Architecture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b/>
                <w:sz w:val="17"/>
              </w:rPr>
              <w:t>MAE ($)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b/>
                <w:sz w:val="17"/>
              </w:rPr>
              <w:t>RMSE ($)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b/>
                <w:sz w:val="17"/>
              </w:rPr>
              <w:t>MAPE (%)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b/>
                <w:sz w:val="17"/>
              </w:rPr>
              <w:t>R² Score</w:t>
            </w:r>
          </w:p>
        </w:tc>
      </w:tr>
      <w:tr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Ridge Regression Baseline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$226.89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$682.70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9.67%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0.7999</w:t>
            </w:r>
          </w:p>
        </w:tc>
      </w:tr>
      <w:tr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Random Forest Regressor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$185.73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$716.30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8.24%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0.7797</w:t>
            </w:r>
          </w:p>
        </w:tc>
      </w:tr>
      <w:tr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XGBoost Regressor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$168.04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$676.08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8.01%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0.8037</w:t>
            </w:r>
          </w:p>
        </w:tc>
      </w:tr>
      <w:tr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CatBoost Regressor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$155.60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$655.86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7.08%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0.8153</w:t>
            </w:r>
          </w:p>
        </w:tc>
      </w:tr>
      <w:tr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LightGBM Regressor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$151.42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$661.79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6.85%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0.8119</w:t>
            </w:r>
          </w:p>
        </w:tc>
      </w:tr>
      <w:tr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Ensemble (LGB + XGB + CAT)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$151.59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$659.33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6.98%</w:t>
            </w:r>
          </w:p>
        </w:tc>
        <w:tc>
          <w:tcPr>
            <w:tcW w:type="dxa" w:w="2102"/>
          </w:tcPr>
          <w:p>
            <w:r>
              <w:rPr>
                <w:rFonts w:ascii="Arial" w:hAnsi="Arial"/>
                <w:sz w:val="17"/>
              </w:rPr>
              <w:t>0.8133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064A56"/>
          <w:sz w:val="26"/>
        </w:rPr>
        <w:t>5. December 2025 Fixed Lane Chart Analysis</w:t>
      </w:r>
    </w:p>
    <w:p>
      <w:r>
        <w:drawing>
          <wp:inline xmlns:a="http://schemas.openxmlformats.org/drawingml/2006/main" xmlns:pic="http://schemas.openxmlformats.org/drawingml/2006/picture">
            <wp:extent cx="5669280" cy="18464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46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Predicted load rate ranges steadily between $808.31 and $820.35 ($2.25/mi - $2.28/mi).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Periodic weekly cycles reflect midweek shipping demand spikes.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