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2"/>
          <w:szCs w:val="22"/>
          <w:rtl w:val="0"/>
        </w:rPr>
        <w:t xml:space="preserve">Description</w:t>
        <w:br w:type="textWrapping"/>
        <w:t xml:space="preserve">Students must implement the mathematical likelihood function of the BG/NBD model from first principles. They are required to write vectorized numerical optimization routines using SciPy's L-BFGS-B algorithm to estimate transaction rate heterogeneities (r, α) and dropout probability shapes (a, b) over millions of purchase transaction logs without utilizing pre-built marketing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WEEK-1 Task Name</w:t>
        <w:br w:type="textWrapping"/>
        <w:t xml:space="preserve">"Mathematical Customer Lifetime Value (CLV) Projection via BG/NBD Model from Scratch"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  <w:br w:type="textWrapping"/>
      </w:r>
      <w:r w:rsidDel="00000000" w:rsidR="00000000" w:rsidRPr="00000000">
        <w:rPr>
          <w:rtl w:val="0"/>
        </w:rPr>
        <w:t xml:space="preserve">This report accompanies a BG/NBD implementation from first principles using NumPy and SciPy's L-BFGS-B optimizer.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Customer Lifetime Value (CLV) estimates the long-term value generated by customers. This project implements the BG/NBD model from scratch without specialized marketing libraries.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BG/NBD model assumes Poisson purchasing, Gamma-distributed transaction rates, Beta-distributed dropout probabilities, and customer heterogeneity.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Implement BG/NBD from scratch</w:t>
        <w:br w:type="textWrapping"/>
        <w:t xml:space="preserve">• Estimate r, alpha, a, b using MLE</w:t>
        <w:br w:type="textWrapping"/>
        <w:t xml:space="preserve">• Predict future transactions</w:t>
        <w:br w:type="textWrapping"/>
        <w:t xml:space="preserve">• Project CLV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Prepare transaction summaries (x, t_x, T).</w:t>
        <w:br w:type="textWrapping"/>
        <w:t xml:space="preserve">2. Compute vectorized negative log-likelihood.</w:t>
        <w:br w:type="textWrapping"/>
        <w:t xml:space="preserve">3. Optimize parameters using SciPy L-BFGS-B.</w:t>
        <w:br w:type="textWrapping"/>
        <w:t xml:space="preserve">4. Predict expected transactions and CLV.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Synthetic transaction logs are used to validate parameter recovery. The same pipeline can be applied to real transaction datasets after converting them into (x, t_x, T) summaries.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Likelihood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BG/NBD log-likelihood is maximized by minimizing the negative log-likelihood over all customers using Maximum Likelihood Estimation (MLE).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Complexity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Vectorized NumPy operations provide O(N) likelihood evaluation per optimizer iteration while avoiding slow Python loops, making the implementation scalable.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implementation estimates r, alpha, a, and b, computes probability alive, expected future transactions, and projected CLV.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project demonstrates an efficient, numerically stable BG/NBD implementation suitable for educational and research purposes.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Fader, Hardie &amp; Lee (2005), Marketing Science.</w:t>
        <w:br w:type="textWrapping"/>
        <w:t xml:space="preserve">2. SciPy Documentation.</w:t>
        <w:br w:type="textWrapping"/>
        <w:t xml:space="preserve">3. NumPy Documentation.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