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64"/>
          <w:szCs w:val="64"/>
        </w:rPr>
        <w:t>THRESHOLD</w:t>
      </w:r>
    </w:p>
    <w:p>
      <w:pPr>
        <w:jc w:val="center"/>
      </w:pPr>
      <w:r>
        <w:rPr>
          <w:b/>
          <w:bCs/>
          <w:color w:val="2E5395"/>
          <w:sz w:val="40"/>
          <w:szCs w:val="40"/>
        </w:rPr>
        <w:t xml:space="preserve">AI Governance Platform</w:t>
      </w:r>
    </w:p>
    <w:p>
      <w:pPr>
        <w:spacing w:before="300"/>
        <w:jc w:val="center"/>
      </w:pPr>
      <w:r>
        <w:rPr>
          <w:color w:val="555555"/>
          <w:sz w:val="26"/>
          <w:szCs w:val="26"/>
        </w:rPr>
        <w:t xml:space="preserve">Architecture &amp; Technical Specification Document</w:t>
      </w:r>
    </w:p>
    <w:p>
      <w:pPr>
        <w:spacing w:before="120"/>
        <w:jc w:val="center"/>
      </w:pPr>
      <w:r>
        <w:rPr>
          <w:i/>
          <w:iCs/>
          <w:color w:val="777777"/>
          <w:sz w:val="22"/>
          <w:szCs w:val="22"/>
        </w:rPr>
        <w:t xml:space="preserve">Problem Statement PS-9.1 — Graduated Autonomy Engine</w:t>
      </w:r>
    </w:p>
    <w:p>
      <w:pPr>
        <w:spacing w:before="1200"/>
        <w:jc w:val="center"/>
      </w:pPr>
      <w:r>
        <w:rPr>
          <w:color w:val="999999"/>
          <w:sz w:val="20"/>
          <w:szCs w:val="20"/>
        </w:rPr>
        <w:t xml:space="preserve">Version 1.0</w:t>
      </w:r>
    </w:p>
    <w:p>
      <w:r>
        <w:br w:type="page"/>
      </w:r>
    </w:p>
    <w:p>
      <w:pPr>
        <w:pStyle w:val="Heading1"/>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Project Overview</w:t>
      </w:r>
    </w:p>
    <w:p>
      <w:pPr>
        <w:spacing w:after="120"/>
      </w:pPr>
      <w:r>
        <w:rPr>
          <w:sz w:val="22"/>
          <w:szCs w:val="22"/>
        </w:rPr>
        <w:t>Threshold is an enterprise AI Governance Platform that lets employees interact with an AI assistant to manage company resources through natural language. Every action the assistant proposes is routed through a Governance Layer before execution, so autonomy is graduated rather than absolute — low-risk actions execute automatically, medium-risk actions require user confirmation, and high-risk actions are escalated to human review.</w:t>
      </w:r>
    </w:p>
    <w:p>
      <w:pPr>
        <w:spacing w:after="120"/>
      </w:pPr>
      <w:r>
        <w:rPr>
          <w:sz w:val="22"/>
          <w:szCs w:val="22"/>
        </w:rPr>
        <w:t xml:space="preserve">The platform is designed to resemble the kind of AI governance tooling used in regulated environments such as banking, healthcare, government, and cybersecurity, where every automated action must be explainable, auditable, and reversible.</w:t>
      </w:r>
    </w:p>
    <w:p>
      <w:pPr>
        <w:pStyle w:val="Heading2"/>
        <w:spacing w:after="120" w:before="260"/>
      </w:pPr>
      <w:r>
        <w:rPr>
          <w:b/>
          <w:bCs/>
          <w:color w:val="2E5395"/>
          <w:sz w:val="24"/>
          <w:szCs w:val="24"/>
        </w:rPr>
        <w:t xml:space="preserve">1.1 Problem Statement</w:t>
      </w:r>
    </w:p>
    <w:p>
      <w:pPr>
        <w:spacing w:after="120"/>
      </w:pPr>
      <w:r>
        <w:rPr>
          <w:b/>
          <w:bCs/>
          <w:sz w:val="22"/>
          <w:szCs w:val="22"/>
        </w:rPr>
        <w:t xml:space="preserve">PS-9.1 — Graduated Autonomy Engine</w:t>
      </w:r>
    </w:p>
    <w:p>
      <w:pPr>
        <w:spacing w:after="120"/>
      </w:pPr>
      <w:r>
        <w:rPr>
          <w:sz w:val="22"/>
          <w:szCs w:val="22"/>
        </w:rPr>
        <w:t xml:space="preserve">Design and build a governance layer that decides, for each AI-proposed action, whether it should execute automatically, require user confirmation, or require human review — and that improves its own risk judgments over time based on prior approval and rejection history.</w:t>
      </w:r>
    </w:p>
    <w:p>
      <w:pPr>
        <w:pStyle w:val="Heading2"/>
        <w:spacing w:after="120" w:before="260"/>
      </w:pPr>
      <w:r>
        <w:rPr>
          <w:b/>
          <w:bCs/>
          <w:color w:val="2E5395"/>
          <w:sz w:val="24"/>
          <w:szCs w:val="24"/>
        </w:rPr>
        <w:t xml:space="preserve">1.2 Objective</w:t>
      </w:r>
    </w:p>
    <w:p>
      <w:pPr>
        <w:pStyle w:val="ListParagraph"/>
        <w:numPr>
          <w:ilvl w:val="0"/>
          <w:numId w:val="2"/>
        </w:numPr>
        <w:spacing w:after="60"/>
      </w:pPr>
      <w:r>
        <w:rPr>
          <w:sz w:val="22"/>
          <w:szCs w:val="22"/>
        </w:rPr>
        <w:t xml:space="preserve">Allow employees to interact with an AI assistant using natural language to manage company resources.</w:t>
      </w:r>
    </w:p>
    <w:p>
      <w:pPr>
        <w:pStyle w:val="ListParagraph"/>
        <w:numPr>
          <w:ilvl w:val="0"/>
          <w:numId w:val="2"/>
        </w:numPr>
        <w:spacing w:after="60"/>
      </w:pPr>
      <w:r>
        <w:rPr>
          <w:sz w:val="22"/>
          <w:szCs w:val="22"/>
        </w:rPr>
        <w:t xml:space="preserve">Route every proposed action through a Governance Layer implementing the Graduated Autonomy Engine.</w:t>
      </w:r>
    </w:p>
    <w:p>
      <w:pPr>
        <w:pStyle w:val="ListParagraph"/>
        <w:numPr>
          <w:ilvl w:val="0"/>
          <w:numId w:val="2"/>
        </w:numPr>
        <w:spacing w:after="60"/>
      </w:pPr>
      <w:r>
        <w:rPr>
          <w:sz w:val="22"/>
          <w:szCs w:val="22"/>
        </w:rPr>
        <w:t xml:space="preserve">Classify each action into one of three lanes: Execute Automatically, Require User Confirmation, or Require Human Review.</w:t>
      </w:r>
    </w:p>
    <w:p>
      <w:pPr>
        <w:pStyle w:val="ListParagraph"/>
        <w:numPr>
          <w:ilvl w:val="0"/>
          <w:numId w:val="2"/>
        </w:numPr>
        <w:spacing w:after="60"/>
      </w:pPr>
      <w:r>
        <w:rPr>
          <w:sz w:val="22"/>
          <w:szCs w:val="22"/>
        </w:rPr>
        <w:t xml:space="preserve">Log every action for audit purposes.</w:t>
      </w:r>
    </w:p>
    <w:p>
      <w:pPr>
        <w:pStyle w:val="ListParagraph"/>
        <w:numPr>
          <w:ilvl w:val="0"/>
          <w:numId w:val="2"/>
        </w:numPr>
        <w:spacing w:after="60"/>
      </w:pPr>
      <w:r>
        <w:rPr>
          <w:sz w:val="22"/>
          <w:szCs w:val="22"/>
        </w:rPr>
        <w:t xml:space="preserve">Continuously learn from historical approvals and rejections to refine future risk decisions.</w:t>
      </w:r>
    </w:p>
    <w:p>
      <w:pPr>
        <w:pStyle w:val="Heading1"/>
        <w:spacing w:after="160" w:before="360"/>
      </w:pPr>
      <w:r>
        <w:rPr>
          <w:b/>
          <w:bCs/>
          <w:color w:val="1F3864"/>
          <w:sz w:val="30"/>
          <w:szCs w:val="30"/>
        </w:rPr>
        <w:t xml:space="preserve">2. Technology Stack</w:t>
      </w:r>
    </w:p>
    <w:p>
      <w:pPr>
        <w:pStyle w:val="Heading2"/>
        <w:spacing w:after="120" w:before="260"/>
      </w:pPr>
      <w:r>
        <w:rPr>
          <w:b/>
          <w:bCs/>
          <w:color w:val="2E5395"/>
          <w:sz w:val="24"/>
          <w:szCs w:val="24"/>
        </w:rPr>
        <w:t xml:space="preserve">2.1 Backend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Component</w:t>
            </w:r>
          </w:p>
        </w:tc>
        <w:tc>
          <w:tcPr>
            <w:tcW w:type="dxa" w:w="5000"/>
            <w:shd w:fill="1F3864" w:color="auto" w:val="clear"/>
            <w:tcMar>
              <w:top w:type="dxa" w:w="80"/>
              <w:left w:type="dxa" w:w="100"/>
              <w:bottom w:type="dxa" w:w="80"/>
              <w:right w:type="dxa" w:w="100"/>
            </w:tcMar>
          </w:tcPr>
          <w:p>
            <w:r>
              <w:rPr>
                <w:b/>
                <w:bCs/>
                <w:color w:val="FFFFFF"/>
                <w:sz w:val="20"/>
                <w:szCs w:val="20"/>
              </w:rPr>
              <w:t xml:space="preserve">Technology</w:t>
            </w:r>
          </w:p>
        </w:tc>
      </w:tr>
      <w:tr>
        <w:tc>
          <w:tcPr>
            <w:tcW w:type="dxa" w:w="3200"/>
            <w:shd w:fill="FFFFFF" w:color="auto" w:val="clear"/>
            <w:tcMar>
              <w:top w:type="dxa" w:w="70"/>
              <w:left w:type="dxa" w:w="100"/>
              <w:bottom w:type="dxa" w:w="70"/>
              <w:right w:type="dxa" w:w="100"/>
            </w:tcMar>
          </w:tcPr>
          <w:p>
            <w:r>
              <w:rPr>
                <w:sz w:val="20"/>
                <w:szCs w:val="20"/>
              </w:rPr>
              <w:t xml:space="preserve">Language</w:t>
            </w:r>
          </w:p>
        </w:tc>
        <w:tc>
          <w:tcPr>
            <w:tcW w:type="dxa" w:w="5000"/>
            <w:shd w:fill="FFFFFF" w:color="auto" w:val="clear"/>
            <w:tcMar>
              <w:top w:type="dxa" w:w="70"/>
              <w:left w:type="dxa" w:w="100"/>
              <w:bottom w:type="dxa" w:w="70"/>
              <w:right w:type="dxa" w:w="100"/>
            </w:tcMar>
          </w:tcPr>
          <w:p>
            <w:r>
              <w:rPr>
                <w:sz w:val="20"/>
                <w:szCs w:val="20"/>
              </w:rPr>
              <w:t xml:space="preserve">Python</w:t>
            </w:r>
          </w:p>
        </w:tc>
      </w:tr>
      <w:tr>
        <w:tc>
          <w:tcPr>
            <w:tcW w:type="dxa" w:w="3200"/>
            <w:shd w:fill="EAF0F8" w:color="auto" w:val="clear"/>
            <w:tcMar>
              <w:top w:type="dxa" w:w="70"/>
              <w:left w:type="dxa" w:w="100"/>
              <w:bottom w:type="dxa" w:w="70"/>
              <w:right w:type="dxa" w:w="100"/>
            </w:tcMar>
          </w:tcPr>
          <w:p>
            <w:r>
              <w:rPr>
                <w:sz w:val="20"/>
                <w:szCs w:val="20"/>
              </w:rPr>
              <w:t xml:space="preserve">Web Framework</w:t>
            </w:r>
          </w:p>
        </w:tc>
        <w:tc>
          <w:tcPr>
            <w:tcW w:type="dxa" w:w="5000"/>
            <w:shd w:fill="EAF0F8" w:color="auto" w:val="clear"/>
            <w:tcMar>
              <w:top w:type="dxa" w:w="70"/>
              <w:left w:type="dxa" w:w="100"/>
              <w:bottom w:type="dxa" w:w="70"/>
              <w:right w:type="dxa" w:w="100"/>
            </w:tcMar>
          </w:tcPr>
          <w:p>
            <w:r>
              <w:rPr>
                <w:sz w:val="20"/>
                <w:szCs w:val="20"/>
              </w:rPr>
              <w:t xml:space="preserve">FastAPI</w:t>
            </w:r>
          </w:p>
        </w:tc>
      </w:tr>
      <w:tr>
        <w:tc>
          <w:tcPr>
            <w:tcW w:type="dxa" w:w="3200"/>
            <w:shd w:fill="FFFFFF" w:color="auto" w:val="clear"/>
            <w:tcMar>
              <w:top w:type="dxa" w:w="70"/>
              <w:left w:type="dxa" w:w="100"/>
              <w:bottom w:type="dxa" w:w="70"/>
              <w:right w:type="dxa" w:w="100"/>
            </w:tcMar>
          </w:tcPr>
          <w:p>
            <w:r>
              <w:rPr>
                <w:sz w:val="20"/>
                <w:szCs w:val="20"/>
              </w:rPr>
              <w:t xml:space="preserve">ORM</w:t>
            </w:r>
          </w:p>
        </w:tc>
        <w:tc>
          <w:tcPr>
            <w:tcW w:type="dxa" w:w="5000"/>
            <w:shd w:fill="FFFFFF" w:color="auto" w:val="clear"/>
            <w:tcMar>
              <w:top w:type="dxa" w:w="70"/>
              <w:left w:type="dxa" w:w="100"/>
              <w:bottom w:type="dxa" w:w="70"/>
              <w:right w:type="dxa" w:w="100"/>
            </w:tcMar>
          </w:tcPr>
          <w:p>
            <w:r>
              <w:rPr>
                <w:sz w:val="20"/>
                <w:szCs w:val="20"/>
              </w:rPr>
              <w:t xml:space="preserve">SQLAlchemy</w:t>
            </w:r>
          </w:p>
        </w:tc>
      </w:tr>
      <w:tr>
        <w:tc>
          <w:tcPr>
            <w:tcW w:type="dxa" w:w="3200"/>
            <w:shd w:fill="EAF0F8" w:color="auto" w:val="clear"/>
            <w:tcMar>
              <w:top w:type="dxa" w:w="70"/>
              <w:left w:type="dxa" w:w="100"/>
              <w:bottom w:type="dxa" w:w="70"/>
              <w:right w:type="dxa" w:w="100"/>
            </w:tcMar>
          </w:tcPr>
          <w:p>
            <w:r>
              <w:rPr>
                <w:sz w:val="20"/>
                <w:szCs w:val="20"/>
              </w:rPr>
              <w:t xml:space="preserve">Migrations</w:t>
            </w:r>
          </w:p>
        </w:tc>
        <w:tc>
          <w:tcPr>
            <w:tcW w:type="dxa" w:w="5000"/>
            <w:shd w:fill="EAF0F8" w:color="auto" w:val="clear"/>
            <w:tcMar>
              <w:top w:type="dxa" w:w="70"/>
              <w:left w:type="dxa" w:w="100"/>
              <w:bottom w:type="dxa" w:w="70"/>
              <w:right w:type="dxa" w:w="100"/>
            </w:tcMar>
          </w:tcPr>
          <w:p>
            <w:r>
              <w:rPr>
                <w:sz w:val="20"/>
                <w:szCs w:val="20"/>
              </w:rPr>
              <w:t xml:space="preserve">Alembic</w:t>
            </w:r>
          </w:p>
        </w:tc>
      </w:tr>
      <w:tr>
        <w:tc>
          <w:tcPr>
            <w:tcW w:type="dxa" w:w="3200"/>
            <w:shd w:fill="FFFFFF" w:color="auto" w:val="clear"/>
            <w:tcMar>
              <w:top w:type="dxa" w:w="70"/>
              <w:left w:type="dxa" w:w="100"/>
              <w:bottom w:type="dxa" w:w="70"/>
              <w:right w:type="dxa" w:w="100"/>
            </w:tcMar>
          </w:tcPr>
          <w:p>
            <w:r>
              <w:rPr>
                <w:sz w:val="20"/>
                <w:szCs w:val="20"/>
              </w:rPr>
              <w:t xml:space="preserve">Database</w:t>
            </w:r>
          </w:p>
        </w:tc>
        <w:tc>
          <w:tcPr>
            <w:tcW w:type="dxa" w:w="5000"/>
            <w:shd w:fill="FFFFFF" w:color="auto" w:val="clear"/>
            <w:tcMar>
              <w:top w:type="dxa" w:w="70"/>
              <w:left w:type="dxa" w:w="100"/>
              <w:bottom w:type="dxa" w:w="70"/>
              <w:right w:type="dxa" w:w="100"/>
            </w:tcMar>
          </w:tcPr>
          <w:p>
            <w:r>
              <w:rPr>
                <w:sz w:val="20"/>
                <w:szCs w:val="20"/>
              </w:rPr>
              <w:t xml:space="preserve">PostgreSQL</w:t>
            </w:r>
          </w:p>
        </w:tc>
      </w:tr>
      <w:tr>
        <w:tc>
          <w:tcPr>
            <w:tcW w:type="dxa" w:w="3200"/>
            <w:shd w:fill="EAF0F8" w:color="auto" w:val="clear"/>
            <w:tcMar>
              <w:top w:type="dxa" w:w="70"/>
              <w:left w:type="dxa" w:w="100"/>
              <w:bottom w:type="dxa" w:w="70"/>
              <w:right w:type="dxa" w:w="100"/>
            </w:tcMar>
          </w:tcPr>
          <w:p>
            <w:r>
              <w:rPr>
                <w:sz w:val="20"/>
                <w:szCs w:val="20"/>
              </w:rPr>
              <w:t xml:space="preserve">Validation</w:t>
            </w:r>
          </w:p>
        </w:tc>
        <w:tc>
          <w:tcPr>
            <w:tcW w:type="dxa" w:w="5000"/>
            <w:shd w:fill="EAF0F8" w:color="auto" w:val="clear"/>
            <w:tcMar>
              <w:top w:type="dxa" w:w="70"/>
              <w:left w:type="dxa" w:w="100"/>
              <w:bottom w:type="dxa" w:w="70"/>
              <w:right w:type="dxa" w:w="100"/>
            </w:tcMar>
          </w:tcPr>
          <w:p>
            <w:r>
              <w:rPr>
                <w:sz w:val="20"/>
                <w:szCs w:val="20"/>
              </w:rPr>
              <w:t xml:space="preserve">Pydantic</w:t>
            </w:r>
          </w:p>
        </w:tc>
      </w:tr>
      <w:tr>
        <w:tc>
          <w:tcPr>
            <w:tcW w:type="dxa" w:w="3200"/>
            <w:shd w:fill="FFFFFF" w:color="auto" w:val="clear"/>
            <w:tcMar>
              <w:top w:type="dxa" w:w="70"/>
              <w:left w:type="dxa" w:w="100"/>
              <w:bottom w:type="dxa" w:w="70"/>
              <w:right w:type="dxa" w:w="100"/>
            </w:tcMar>
          </w:tcPr>
          <w:p>
            <w:r>
              <w:rPr>
                <w:sz w:val="20"/>
                <w:szCs w:val="20"/>
              </w:rPr>
              <w:t xml:space="preserve">Realtime</w:t>
            </w:r>
          </w:p>
        </w:tc>
        <w:tc>
          <w:tcPr>
            <w:tcW w:type="dxa" w:w="5000"/>
            <w:shd w:fill="FFFFFF" w:color="auto" w:val="clear"/>
            <w:tcMar>
              <w:top w:type="dxa" w:w="70"/>
              <w:left w:type="dxa" w:w="100"/>
              <w:bottom w:type="dxa" w:w="70"/>
              <w:right w:type="dxa" w:w="100"/>
            </w:tcMar>
          </w:tcPr>
          <w:p>
            <w:r>
              <w:rPr>
                <w:sz w:val="20"/>
                <w:szCs w:val="20"/>
              </w:rPr>
              <w:t xml:space="preserve">WebSockets</w:t>
            </w:r>
          </w:p>
        </w:tc>
      </w:tr>
    </w:tbl>
    <w:p/>
    <w:p>
      <w:pPr>
        <w:pStyle w:val="Heading2"/>
        <w:spacing w:after="120" w:before="260"/>
      </w:pPr>
      <w:r>
        <w:rPr>
          <w:b/>
          <w:bCs/>
          <w:color w:val="2E5395"/>
          <w:sz w:val="24"/>
          <w:szCs w:val="24"/>
        </w:rPr>
        <w:t xml:space="preserve">2.2 Frontend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Component</w:t>
            </w:r>
          </w:p>
        </w:tc>
        <w:tc>
          <w:tcPr>
            <w:tcW w:type="dxa" w:w="5000"/>
            <w:shd w:fill="1F3864" w:color="auto" w:val="clear"/>
            <w:tcMar>
              <w:top w:type="dxa" w:w="80"/>
              <w:left w:type="dxa" w:w="100"/>
              <w:bottom w:type="dxa" w:w="80"/>
              <w:right w:type="dxa" w:w="100"/>
            </w:tcMar>
          </w:tcPr>
          <w:p>
            <w:r>
              <w:rPr>
                <w:b/>
                <w:bCs/>
                <w:color w:val="FFFFFF"/>
                <w:sz w:val="20"/>
                <w:szCs w:val="20"/>
              </w:rPr>
              <w:t xml:space="preserve">Technology</w:t>
            </w:r>
          </w:p>
        </w:tc>
      </w:tr>
      <w:tr>
        <w:tc>
          <w:tcPr>
            <w:tcW w:type="dxa" w:w="3200"/>
            <w:shd w:fill="FFFFFF" w:color="auto" w:val="clear"/>
            <w:tcMar>
              <w:top w:type="dxa" w:w="70"/>
              <w:left w:type="dxa" w:w="100"/>
              <w:bottom w:type="dxa" w:w="70"/>
              <w:right w:type="dxa" w:w="100"/>
            </w:tcMar>
          </w:tcPr>
          <w:p>
            <w:r>
              <w:rPr>
                <w:sz w:val="20"/>
                <w:szCs w:val="20"/>
              </w:rPr>
              <w:t xml:space="preserve">Markup / Styling</w:t>
            </w:r>
          </w:p>
        </w:tc>
        <w:tc>
          <w:tcPr>
            <w:tcW w:type="dxa" w:w="5000"/>
            <w:shd w:fill="FFFFFF" w:color="auto" w:val="clear"/>
            <w:tcMar>
              <w:top w:type="dxa" w:w="70"/>
              <w:left w:type="dxa" w:w="100"/>
              <w:bottom w:type="dxa" w:w="70"/>
              <w:right w:type="dxa" w:w="100"/>
            </w:tcMar>
          </w:tcPr>
          <w:p>
            <w:r>
              <w:rPr>
                <w:sz w:val="20"/>
                <w:szCs w:val="20"/>
              </w:rPr>
              <w:t xml:space="preserve">HTML5, CSS3</w:t>
            </w:r>
          </w:p>
        </w:tc>
      </w:tr>
      <w:tr>
        <w:tc>
          <w:tcPr>
            <w:tcW w:type="dxa" w:w="3200"/>
            <w:shd w:fill="EAF0F8" w:color="auto" w:val="clear"/>
            <w:tcMar>
              <w:top w:type="dxa" w:w="70"/>
              <w:left w:type="dxa" w:w="100"/>
              <w:bottom w:type="dxa" w:w="70"/>
              <w:right w:type="dxa" w:w="100"/>
            </w:tcMar>
          </w:tcPr>
          <w:p>
            <w:r>
              <w:rPr>
                <w:sz w:val="20"/>
                <w:szCs w:val="20"/>
              </w:rPr>
              <w:t xml:space="preserve">Scripting</w:t>
            </w:r>
          </w:p>
        </w:tc>
        <w:tc>
          <w:tcPr>
            <w:tcW w:type="dxa" w:w="5000"/>
            <w:shd w:fill="EAF0F8" w:color="auto" w:val="clear"/>
            <w:tcMar>
              <w:top w:type="dxa" w:w="70"/>
              <w:left w:type="dxa" w:w="100"/>
              <w:bottom w:type="dxa" w:w="70"/>
              <w:right w:type="dxa" w:w="100"/>
            </w:tcMar>
          </w:tcPr>
          <w:p>
            <w:r>
              <w:rPr>
                <w:sz w:val="20"/>
                <w:szCs w:val="20"/>
              </w:rPr>
              <w:t xml:space="preserve">Vanilla JavaScript (no framework)</w:t>
            </w:r>
          </w:p>
        </w:tc>
      </w:tr>
      <w:tr>
        <w:tc>
          <w:tcPr>
            <w:tcW w:type="dxa" w:w="3200"/>
            <w:shd w:fill="FFFFFF" w:color="auto" w:val="clear"/>
            <w:tcMar>
              <w:top w:type="dxa" w:w="70"/>
              <w:left w:type="dxa" w:w="100"/>
              <w:bottom w:type="dxa" w:w="70"/>
              <w:right w:type="dxa" w:w="100"/>
            </w:tcMar>
          </w:tcPr>
          <w:p>
            <w:r>
              <w:rPr>
                <w:sz w:val="20"/>
                <w:szCs w:val="20"/>
              </w:rPr>
              <w:t xml:space="preserve">Charts</w:t>
            </w:r>
          </w:p>
        </w:tc>
        <w:tc>
          <w:tcPr>
            <w:tcW w:type="dxa" w:w="5000"/>
            <w:shd w:fill="FFFFFF" w:color="auto" w:val="clear"/>
            <w:tcMar>
              <w:top w:type="dxa" w:w="70"/>
              <w:left w:type="dxa" w:w="100"/>
              <w:bottom w:type="dxa" w:w="70"/>
              <w:right w:type="dxa" w:w="100"/>
            </w:tcMar>
          </w:tcPr>
          <w:p>
            <w:r>
              <w:rPr>
                <w:sz w:val="20"/>
                <w:szCs w:val="20"/>
              </w:rPr>
              <w:t xml:space="preserve">Chart.js</w:t>
            </w:r>
          </w:p>
        </w:tc>
      </w:tr>
      <w:tr>
        <w:tc>
          <w:tcPr>
            <w:tcW w:type="dxa" w:w="3200"/>
            <w:shd w:fill="EAF0F8" w:color="auto" w:val="clear"/>
            <w:tcMar>
              <w:top w:type="dxa" w:w="70"/>
              <w:left w:type="dxa" w:w="100"/>
              <w:bottom w:type="dxa" w:w="70"/>
              <w:right w:type="dxa" w:w="100"/>
            </w:tcMar>
          </w:tcPr>
          <w:p>
            <w:r>
              <w:rPr>
                <w:sz w:val="20"/>
                <w:szCs w:val="20"/>
              </w:rPr>
              <w:t xml:space="preserve">Icons</w:t>
            </w:r>
          </w:p>
        </w:tc>
        <w:tc>
          <w:tcPr>
            <w:tcW w:type="dxa" w:w="5000"/>
            <w:shd w:fill="EAF0F8" w:color="auto" w:val="clear"/>
            <w:tcMar>
              <w:top w:type="dxa" w:w="70"/>
              <w:left w:type="dxa" w:w="100"/>
              <w:bottom w:type="dxa" w:w="70"/>
              <w:right w:type="dxa" w:w="100"/>
            </w:tcMar>
          </w:tcPr>
          <w:p>
            <w:r>
              <w:rPr>
                <w:sz w:val="20"/>
                <w:szCs w:val="20"/>
              </w:rPr>
              <w:t xml:space="preserve">Font Awesome</w:t>
            </w:r>
          </w:p>
        </w:tc>
      </w:tr>
      <w:tr>
        <w:tc>
          <w:tcPr>
            <w:tcW w:type="dxa" w:w="3200"/>
            <w:shd w:fill="FFFFFF" w:color="auto" w:val="clear"/>
            <w:tcMar>
              <w:top w:type="dxa" w:w="70"/>
              <w:left w:type="dxa" w:w="100"/>
              <w:bottom w:type="dxa" w:w="70"/>
              <w:right w:type="dxa" w:w="100"/>
            </w:tcMar>
          </w:tcPr>
          <w:p>
            <w:r>
              <w:rPr>
                <w:sz w:val="20"/>
                <w:szCs w:val="20"/>
              </w:rPr>
              <w:t xml:space="preserve">Typography</w:t>
            </w:r>
          </w:p>
        </w:tc>
        <w:tc>
          <w:tcPr>
            <w:tcW w:type="dxa" w:w="5000"/>
            <w:shd w:fill="FFFFFF" w:color="auto" w:val="clear"/>
            <w:tcMar>
              <w:top w:type="dxa" w:w="70"/>
              <w:left w:type="dxa" w:w="100"/>
              <w:bottom w:type="dxa" w:w="70"/>
              <w:right w:type="dxa" w:w="100"/>
            </w:tcMar>
          </w:tcPr>
          <w:p>
            <w:r>
              <w:rPr>
                <w:sz w:val="20"/>
                <w:szCs w:val="20"/>
              </w:rPr>
              <w:t xml:space="preserve">Inter</w:t>
            </w:r>
          </w:p>
        </w:tc>
      </w:tr>
    </w:tbl>
    <w:p>
      <w:pPr>
        <w:spacing w:after="120"/>
      </w:pPr>
      <w:r>
        <w:rPr>
          <w:sz w:val="22"/>
          <w:szCs w:val="22"/>
        </w:rPr>
        <w:t xml:space="preserve"/>
      </w:r>
    </w:p>
    <w:p>
      <w:pPr>
        <w:spacing w:after="120"/>
      </w:pPr>
      <w:r>
        <w:rPr>
          <w:i/>
          <w:iCs/>
          <w:color w:val="555555"/>
          <w:sz w:val="22"/>
          <w:szCs w:val="22"/>
        </w:rPr>
        <w:t xml:space="preserve">Frameworks intentionally excluded: React, Angular, Vue. The frontend is treated as a fixed deliverable — backend work integrates with it via REST and WebSocket APIs rather than modifying its structure.</w:t>
      </w:r>
    </w:p>
    <w:p>
      <w:pPr>
        <w:pStyle w:val="Heading1"/>
        <w:spacing w:after="160" w:before="360"/>
      </w:pPr>
      <w:r>
        <w:rPr>
          <w:b/>
          <w:bCs/>
          <w:color w:val="1F3864"/>
          <w:sz w:val="30"/>
          <w:szCs w:val="30"/>
        </w:rPr>
        <w:t xml:space="preserve">3. Software Architecture</w:t>
      </w:r>
    </w:p>
    <w:p>
      <w:pPr>
        <w:spacing w:after="120"/>
      </w:pPr>
      <w:r>
        <w:rPr>
          <w:sz w:val="22"/>
          <w:szCs w:val="22"/>
        </w:rPr>
        <w:t xml:space="preserve">Requests flow from the user through a chain of specialised agents, engines, and services, ending in a persisted, auditable outcome: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User</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Enterprise AI Assistant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AI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Planner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Governance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Risk Engine → Policy Engine → Decision Engine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AUTO / CONFIRM / HUMAN REVIEW</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Review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Execution Service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Repository Layer</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PostgreSQL</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Audit Service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Learning Service</w:t>
      </w:r>
    </w:p>
    <w:p>
      <w:pPr>
        <w:pStyle w:val="Heading2"/>
        <w:spacing w:after="120" w:before="260"/>
      </w:pPr>
      <w:r>
        <w:rPr>
          <w:b/>
          <w:bCs/>
          <w:color w:val="2E5395"/>
          <w:sz w:val="24"/>
          <w:szCs w:val="24"/>
        </w:rPr>
        <w:t xml:space="preserve">3.1 Object-Oriented Design</w:t>
      </w:r>
    </w:p>
    <w:p>
      <w:pPr>
        <w:spacing w:after="120"/>
      </w:pPr>
      <w:r>
        <w:rPr>
          <w:sz w:val="22"/>
          <w:szCs w:val="22"/>
        </w:rPr>
        <w:t xml:space="preserve">All agents inherit from a common abstract base class and implement a uniform execution contract, which keeps the orchestration layer polymorphic and testable.</w:t>
      </w:r>
    </w:p>
    <w:p>
      <w:pPr>
        <w:pStyle w:val="ListParagraph"/>
        <w:numPr>
          <w:ilvl w:val="0"/>
          <w:numId w:val="2"/>
        </w:numPr>
        <w:spacing w:after="60"/>
      </w:pPr>
      <w:r>
        <w:rPr>
          <w:sz w:val="22"/>
          <w:szCs w:val="22"/>
        </w:rPr>
        <w:t xml:space="preserve">Abstract base class: BaseAgent, defining execute(context) as an abstract method.</w:t>
      </w:r>
    </w:p>
    <w:p>
      <w:pPr>
        <w:pStyle w:val="ListParagraph"/>
        <w:numPr>
          <w:ilvl w:val="0"/>
          <w:numId w:val="2"/>
        </w:numPr>
        <w:spacing w:after="60"/>
      </w:pPr>
      <w:r>
        <w:rPr>
          <w:sz w:val="22"/>
          <w:szCs w:val="22"/>
        </w:rPr>
        <w:t xml:space="preserve">Concrete agents: AIAgent, PlannerAgent, GovernanceAgent, ReviewAgent — each overrides execute(context).</w:t>
      </w:r>
    </w:p>
    <w:p>
      <w:pPr>
        <w:pStyle w:val="ListParagraph"/>
        <w:numPr>
          <w:ilvl w:val="0"/>
          <w:numId w:val="2"/>
        </w:numPr>
        <w:spacing w:after="60"/>
      </w:pPr>
      <w:r>
        <w:rPr>
          <w:sz w:val="22"/>
          <w:szCs w:val="22"/>
        </w:rPr>
        <w:t xml:space="preserve">Each class adheres to SOLID principles — single responsibility per agent, open for extension via new agent subclasses, and dependency inversion against interfaces rather than concrete services.</w:t>
      </w:r>
    </w:p>
    <w:p>
      <w:pPr>
        <w:pStyle w:val="Heading2"/>
        <w:spacing w:after="120" w:before="260"/>
      </w:pPr>
      <w:r>
        <w:rPr>
          <w:b/>
          <w:bCs/>
          <w:color w:val="2E5395"/>
          <w:sz w:val="24"/>
          <w:szCs w:val="24"/>
        </w:rPr>
        <w:t xml:space="preserve">3.2 Engine Responsibilities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Engine</w:t>
            </w:r>
          </w:p>
        </w:tc>
        <w:tc>
          <w:tcPr>
            <w:tcW w:type="dxa" w:w="5800"/>
            <w:shd w:fill="1F3864" w:color="auto" w:val="clear"/>
            <w:tcMar>
              <w:top w:type="dxa" w:w="80"/>
              <w:left w:type="dxa" w:w="100"/>
              <w:bottom w:type="dxa" w:w="80"/>
              <w:right w:type="dxa" w:w="100"/>
            </w:tcMar>
          </w:tcPr>
          <w:p>
            <w:r>
              <w:rPr>
                <w:b/>
                <w:bCs/>
                <w:color w:val="FFFFFF"/>
                <w:sz w:val="20"/>
                <w:szCs w:val="20"/>
              </w:rPr>
              <w:t xml:space="preserve">Responsibility</w:t>
            </w:r>
          </w:p>
        </w:tc>
      </w:tr>
      <w:tr>
        <w:tc>
          <w:tcPr>
            <w:tcW w:type="dxa" w:w="2400"/>
            <w:shd w:fill="FFFFFF" w:color="auto" w:val="clear"/>
            <w:tcMar>
              <w:top w:type="dxa" w:w="70"/>
              <w:left w:type="dxa" w:w="100"/>
              <w:bottom w:type="dxa" w:w="70"/>
              <w:right w:type="dxa" w:w="100"/>
            </w:tcMar>
          </w:tcPr>
          <w:p>
            <w:r>
              <w:rPr>
                <w:sz w:val="20"/>
                <w:szCs w:val="20"/>
              </w:rPr>
              <w:t xml:space="preserve">Risk Engine</w:t>
            </w:r>
          </w:p>
        </w:tc>
        <w:tc>
          <w:tcPr>
            <w:tcW w:type="dxa" w:w="5800"/>
            <w:shd w:fill="FFFFFF" w:color="auto" w:val="clear"/>
            <w:tcMar>
              <w:top w:type="dxa" w:w="70"/>
              <w:left w:type="dxa" w:w="100"/>
              <w:bottom w:type="dxa" w:w="70"/>
              <w:right w:type="dxa" w:w="100"/>
            </w:tcMar>
          </w:tcPr>
          <w:p>
            <w:r>
              <w:rPr>
                <w:sz w:val="20"/>
                <w:szCs w:val="20"/>
              </w:rPr>
              <w:t xml:space="preserve">Calculates a risk score for the proposed action. No policy or decision logic.</w:t>
            </w:r>
          </w:p>
        </w:tc>
      </w:tr>
      <w:tr>
        <w:tc>
          <w:tcPr>
            <w:tcW w:type="dxa" w:w="2400"/>
            <w:shd w:fill="EAF0F8" w:color="auto" w:val="clear"/>
            <w:tcMar>
              <w:top w:type="dxa" w:w="70"/>
              <w:left w:type="dxa" w:w="100"/>
              <w:bottom w:type="dxa" w:w="70"/>
              <w:right w:type="dxa" w:w="100"/>
            </w:tcMar>
          </w:tcPr>
          <w:p>
            <w:r>
              <w:rPr>
                <w:sz w:val="20"/>
                <w:szCs w:val="20"/>
              </w:rPr>
              <w:t xml:space="preserve">Policy Engine</w:t>
            </w:r>
          </w:p>
        </w:tc>
        <w:tc>
          <w:tcPr>
            <w:tcW w:type="dxa" w:w="5800"/>
            <w:shd w:fill="EAF0F8" w:color="auto" w:val="clear"/>
            <w:tcMar>
              <w:top w:type="dxa" w:w="70"/>
              <w:left w:type="dxa" w:w="100"/>
              <w:bottom w:type="dxa" w:w="70"/>
              <w:right w:type="dxa" w:w="100"/>
            </w:tcMar>
          </w:tcPr>
          <w:p>
            <w:r>
              <w:rPr>
                <w:sz w:val="20"/>
                <w:szCs w:val="20"/>
              </w:rPr>
              <w:t xml:space="preserve">Evaluates business/compliance rules against the action. No risk scoring.</w:t>
            </w:r>
          </w:p>
        </w:tc>
      </w:tr>
      <w:tr>
        <w:tc>
          <w:tcPr>
            <w:tcW w:type="dxa" w:w="2400"/>
            <w:shd w:fill="FFFFFF" w:color="auto" w:val="clear"/>
            <w:tcMar>
              <w:top w:type="dxa" w:w="70"/>
              <w:left w:type="dxa" w:w="100"/>
              <w:bottom w:type="dxa" w:w="70"/>
              <w:right w:type="dxa" w:w="100"/>
            </w:tcMar>
          </w:tcPr>
          <w:p>
            <w:r>
              <w:rPr>
                <w:sz w:val="20"/>
                <w:szCs w:val="20"/>
              </w:rPr>
              <w:t xml:space="preserve">Decision Engine</w:t>
            </w:r>
          </w:p>
        </w:tc>
        <w:tc>
          <w:tcPr>
            <w:tcW w:type="dxa" w:w="5800"/>
            <w:shd w:fill="FFFFFF" w:color="auto" w:val="clear"/>
            <w:tcMar>
              <w:top w:type="dxa" w:w="70"/>
              <w:left w:type="dxa" w:w="100"/>
              <w:bottom w:type="dxa" w:w="70"/>
              <w:right w:type="dxa" w:w="100"/>
            </w:tcMar>
          </w:tcPr>
          <w:p>
            <w:r>
              <w:rPr>
                <w:sz w:val="20"/>
                <w:szCs w:val="20"/>
              </w:rPr>
              <w:t xml:space="preserve">Combines risk and policy outputs to determine AUTO, CONFIRM, or REVIEW.</w:t>
            </w:r>
          </w:p>
        </w:tc>
      </w:tr>
    </w:tbl>
    <w:p>
      <w:pPr>
        <w:pStyle w:val="Heading2"/>
        <w:spacing w:after="120" w:before="260"/>
      </w:pPr>
      <w:r>
        <w:rPr>
          <w:b/>
          <w:bCs/>
          <w:color w:val="2E5395"/>
          <w:sz w:val="24"/>
          <w:szCs w:val="24"/>
        </w:rPr>
        <w:t xml:space="preserve">3.3 Service Responsibilities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Service</w:t>
            </w:r>
          </w:p>
        </w:tc>
        <w:tc>
          <w:tcPr>
            <w:tcW w:type="dxa" w:w="5800"/>
            <w:shd w:fill="1F3864" w:color="auto" w:val="clear"/>
            <w:tcMar>
              <w:top w:type="dxa" w:w="80"/>
              <w:left w:type="dxa" w:w="100"/>
              <w:bottom w:type="dxa" w:w="80"/>
              <w:right w:type="dxa" w:w="100"/>
            </w:tcMar>
          </w:tcPr>
          <w:p>
            <w:r>
              <w:rPr>
                <w:b/>
                <w:bCs/>
                <w:color w:val="FFFFFF"/>
                <w:sz w:val="20"/>
                <w:szCs w:val="20"/>
              </w:rPr>
              <w:t xml:space="preserve">Responsibility</w:t>
            </w:r>
          </w:p>
        </w:tc>
      </w:tr>
      <w:tr>
        <w:tc>
          <w:tcPr>
            <w:tcW w:type="dxa" w:w="2400"/>
            <w:shd w:fill="FFFFFF" w:color="auto" w:val="clear"/>
            <w:tcMar>
              <w:top w:type="dxa" w:w="70"/>
              <w:left w:type="dxa" w:w="100"/>
              <w:bottom w:type="dxa" w:w="70"/>
              <w:right w:type="dxa" w:w="100"/>
            </w:tcMar>
          </w:tcPr>
          <w:p>
            <w:r>
              <w:rPr>
                <w:sz w:val="20"/>
                <w:szCs w:val="20"/>
              </w:rPr>
              <w:t xml:space="preserve">Execution Service</w:t>
            </w:r>
          </w:p>
        </w:tc>
        <w:tc>
          <w:tcPr>
            <w:tcW w:type="dxa" w:w="5800"/>
            <w:shd w:fill="FFFFFF" w:color="auto" w:val="clear"/>
            <w:tcMar>
              <w:top w:type="dxa" w:w="70"/>
              <w:left w:type="dxa" w:w="100"/>
              <w:bottom w:type="dxa" w:w="70"/>
              <w:right w:type="dxa" w:w="100"/>
            </w:tcMar>
          </w:tcPr>
          <w:p>
            <w:r>
              <w:rPr>
                <w:sz w:val="20"/>
                <w:szCs w:val="20"/>
              </w:rPr>
              <w:t xml:space="preserve">Executes actions that have been approved (AUTO or confirmed/reviewed).</w:t>
            </w:r>
          </w:p>
        </w:tc>
      </w:tr>
      <w:tr>
        <w:tc>
          <w:tcPr>
            <w:tcW w:type="dxa" w:w="2400"/>
            <w:shd w:fill="EAF0F8" w:color="auto" w:val="clear"/>
            <w:tcMar>
              <w:top w:type="dxa" w:w="70"/>
              <w:left w:type="dxa" w:w="100"/>
              <w:bottom w:type="dxa" w:w="70"/>
              <w:right w:type="dxa" w:w="100"/>
            </w:tcMar>
          </w:tcPr>
          <w:p>
            <w:r>
              <w:rPr>
                <w:sz w:val="20"/>
                <w:szCs w:val="20"/>
              </w:rPr>
              <w:t xml:space="preserve">Audit Service</w:t>
            </w:r>
          </w:p>
        </w:tc>
        <w:tc>
          <w:tcPr>
            <w:tcW w:type="dxa" w:w="5800"/>
            <w:shd w:fill="EAF0F8" w:color="auto" w:val="clear"/>
            <w:tcMar>
              <w:top w:type="dxa" w:w="70"/>
              <w:left w:type="dxa" w:w="100"/>
              <w:bottom w:type="dxa" w:w="70"/>
              <w:right w:type="dxa" w:w="100"/>
            </w:tcMar>
          </w:tcPr>
          <w:p>
            <w:r>
              <w:rPr>
                <w:sz w:val="20"/>
                <w:szCs w:val="20"/>
              </w:rPr>
              <w:t xml:space="preserve">Persists a complete, immutable audit trail of every action and decision.</w:t>
            </w:r>
          </w:p>
        </w:tc>
      </w:tr>
      <w:tr>
        <w:tc>
          <w:tcPr>
            <w:tcW w:type="dxa" w:w="2400"/>
            <w:shd w:fill="FFFFFF" w:color="auto" w:val="clear"/>
            <w:tcMar>
              <w:top w:type="dxa" w:w="70"/>
              <w:left w:type="dxa" w:w="100"/>
              <w:bottom w:type="dxa" w:w="70"/>
              <w:right w:type="dxa" w:w="100"/>
            </w:tcMar>
          </w:tcPr>
          <w:p>
            <w:r>
              <w:rPr>
                <w:sz w:val="20"/>
                <w:szCs w:val="20"/>
              </w:rPr>
              <w:t xml:space="preserve">Learning Service</w:t>
            </w:r>
          </w:p>
        </w:tc>
        <w:tc>
          <w:tcPr>
            <w:tcW w:type="dxa" w:w="5800"/>
            <w:shd w:fill="FFFFFF" w:color="auto" w:val="clear"/>
            <w:tcMar>
              <w:top w:type="dxa" w:w="70"/>
              <w:left w:type="dxa" w:w="100"/>
              <w:bottom w:type="dxa" w:w="70"/>
              <w:right w:type="dxa" w:w="100"/>
            </w:tcMar>
          </w:tcPr>
          <w:p>
            <w:r>
              <w:rPr>
                <w:sz w:val="20"/>
                <w:szCs w:val="20"/>
              </w:rPr>
              <w:t xml:space="preserve">Adjusts future risk scoring based on historical approvals and rejections.</w:t>
            </w:r>
          </w:p>
        </w:tc>
      </w:tr>
      <w:tr>
        <w:tc>
          <w:tcPr>
            <w:tcW w:type="dxa" w:w="2400"/>
            <w:shd w:fill="EAF0F8" w:color="auto" w:val="clear"/>
            <w:tcMar>
              <w:top w:type="dxa" w:w="70"/>
              <w:left w:type="dxa" w:w="100"/>
              <w:bottom w:type="dxa" w:w="70"/>
              <w:right w:type="dxa" w:w="100"/>
            </w:tcMar>
          </w:tcPr>
          <w:p>
            <w:r>
              <w:rPr>
                <w:sz w:val="20"/>
                <w:szCs w:val="20"/>
              </w:rPr>
              <w:t xml:space="preserve">Dashboard Service</w:t>
            </w:r>
          </w:p>
        </w:tc>
        <w:tc>
          <w:tcPr>
            <w:tcW w:type="dxa" w:w="5800"/>
            <w:shd w:fill="EAF0F8" w:color="auto" w:val="clear"/>
            <w:tcMar>
              <w:top w:type="dxa" w:w="70"/>
              <w:left w:type="dxa" w:w="100"/>
              <w:bottom w:type="dxa" w:w="70"/>
              <w:right w:type="dxa" w:w="100"/>
            </w:tcMar>
          </w:tcPr>
          <w:p>
            <w:r>
              <w:rPr>
                <w:sz w:val="20"/>
                <w:szCs w:val="20"/>
              </w:rPr>
              <w:t xml:space="preserve">Aggregates data for dashboard and analytics views.</w:t>
            </w:r>
          </w:p>
        </w:tc>
      </w:tr>
    </w:tbl>
    <w:p>
      <w:pPr>
        <w:pStyle w:val="Heading2"/>
        <w:spacing w:after="120" w:before="260"/>
      </w:pPr>
      <w:r>
        <w:rPr>
          <w:b/>
          <w:bCs/>
          <w:color w:val="2E5395"/>
          <w:sz w:val="24"/>
          <w:szCs w:val="24"/>
        </w:rPr>
        <w:t xml:space="preserve">3.4 Layering Rules</w:t>
      </w:r>
    </w:p>
    <w:p>
      <w:pPr>
        <w:pStyle w:val="ListParagraph"/>
        <w:numPr>
          <w:ilvl w:val="0"/>
          <w:numId w:val="2"/>
        </w:numPr>
        <w:spacing w:after="60"/>
      </w:pPr>
      <w:r>
        <w:rPr>
          <w:sz w:val="22"/>
          <w:szCs w:val="22"/>
        </w:rPr>
        <w:t xml:space="preserve">No business logic inside routers — routers only translate HTTP/WebSocket calls into service calls.</w:t>
      </w:r>
    </w:p>
    <w:p>
      <w:pPr>
        <w:pStyle w:val="ListParagraph"/>
        <w:numPr>
          <w:ilvl w:val="0"/>
          <w:numId w:val="2"/>
        </w:numPr>
        <w:spacing w:after="60"/>
      </w:pPr>
      <w:r>
        <w:rPr>
          <w:sz w:val="22"/>
          <w:szCs w:val="22"/>
        </w:rPr>
        <w:t xml:space="preserve">No raw SQL inside services — all persistence goes through repositories.</w:t>
      </w:r>
    </w:p>
    <w:p>
      <w:pPr>
        <w:pStyle w:val="ListParagraph"/>
        <w:numPr>
          <w:ilvl w:val="0"/>
          <w:numId w:val="2"/>
        </w:numPr>
        <w:spacing w:after="60"/>
      </w:pPr>
      <w:r>
        <w:rPr>
          <w:sz w:val="22"/>
          <w:szCs w:val="22"/>
        </w:rPr>
        <w:t xml:space="preserve">Repositories only access the database; they contain no business rules.</w:t>
      </w:r>
    </w:p>
    <w:p>
      <w:pPr>
        <w:pStyle w:val="ListParagraph"/>
        <w:numPr>
          <w:ilvl w:val="0"/>
          <w:numId w:val="2"/>
        </w:numPr>
        <w:spacing w:after="60"/>
      </w:pPr>
      <w:r>
        <w:rPr>
          <w:sz w:val="22"/>
          <w:szCs w:val="22"/>
        </w:rPr>
        <w:t xml:space="preserve">Agents only coordinate workflows between engines and services — they do not perform calculations themselves.</w:t>
      </w:r>
    </w:p>
    <w:p>
      <w:pPr>
        <w:pStyle w:val="ListParagraph"/>
        <w:numPr>
          <w:ilvl w:val="0"/>
          <w:numId w:val="2"/>
        </w:numPr>
        <w:spacing w:after="60"/>
      </w:pPr>
      <w:r>
        <w:rPr>
          <w:sz w:val="22"/>
          <w:szCs w:val="22"/>
        </w:rPr>
        <w:t xml:space="preserve">Engines only perform calculations — they do not persist data or call external services.</w:t>
      </w:r>
    </w:p>
    <w:p>
      <w:pPr>
        <w:pStyle w:val="ListParagraph"/>
        <w:numPr>
          <w:ilvl w:val="0"/>
          <w:numId w:val="2"/>
        </w:numPr>
        <w:spacing w:after="60"/>
      </w:pPr>
      <w:r>
        <w:rPr>
          <w:sz w:val="22"/>
          <w:szCs w:val="22"/>
        </w:rPr>
        <w:t xml:space="preserve">Services execute business operations and are the only layer permitted to orchestrate multiple repositories.</w:t>
      </w:r>
    </w:p>
    <w:p>
      <w:r>
        <w:br w:type="page"/>
      </w:r>
    </w:p>
    <w:p>
      <w:pPr>
        <w:pStyle w:val="Heading1"/>
        <w:spacing w:after="160" w:before="360"/>
      </w:pPr>
      <w:r>
        <w:rPr>
          <w:b/>
          <w:bCs/>
          <w:color w:val="1F3864"/>
          <w:sz w:val="30"/>
          <w:szCs w:val="30"/>
        </w:rPr>
        <w:t xml:space="preserve">4. Database Design</w:t>
      </w:r>
    </w:p>
    <w:p>
      <w:pPr>
        <w:spacing w:after="120"/>
      </w:pPr>
      <w:r>
        <w:rPr>
          <w:sz w:val="22"/>
          <w:szCs w:val="22"/>
        </w:rPr>
        <w:t xml:space="preserve">PostgreSQL is the system of record. Core tables, seeded with realistic enterprise data, back both the AI assistant's knowledge access and the governance workflow:</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Table</w:t>
            </w:r>
          </w:p>
        </w:tc>
        <w:tc>
          <w:tcPr>
            <w:tcW w:type="dxa" w:w="600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2200"/>
            <w:shd w:fill="FFFFFF" w:color="auto" w:val="clear"/>
            <w:tcMar>
              <w:top w:type="dxa" w:w="70"/>
              <w:left w:type="dxa" w:w="100"/>
              <w:bottom w:type="dxa" w:w="70"/>
              <w:right w:type="dxa" w:w="100"/>
            </w:tcMar>
          </w:tcPr>
          <w:p>
            <w:r>
              <w:rPr>
                <w:sz w:val="20"/>
                <w:szCs w:val="20"/>
              </w:rPr>
              <w:t xml:space="preserve">employees</w:t>
            </w:r>
          </w:p>
        </w:tc>
        <w:tc>
          <w:tcPr>
            <w:tcW w:type="dxa" w:w="6000"/>
            <w:shd w:fill="FFFFFF" w:color="auto" w:val="clear"/>
            <w:tcMar>
              <w:top w:type="dxa" w:w="70"/>
              <w:left w:type="dxa" w:w="100"/>
              <w:bottom w:type="dxa" w:w="70"/>
              <w:right w:type="dxa" w:w="100"/>
            </w:tcMar>
          </w:tcPr>
          <w:p>
            <w:r>
              <w:rPr>
                <w:sz w:val="20"/>
                <w:szCs w:val="20"/>
              </w:rPr>
              <w:t xml:space="preserve">Employee directory the AI assistant and governance layer reference for identity and role.</w:t>
            </w:r>
          </w:p>
        </w:tc>
      </w:tr>
      <w:tr>
        <w:tc>
          <w:tcPr>
            <w:tcW w:type="dxa" w:w="2200"/>
            <w:shd w:fill="EAF0F8" w:color="auto" w:val="clear"/>
            <w:tcMar>
              <w:top w:type="dxa" w:w="70"/>
              <w:left w:type="dxa" w:w="100"/>
              <w:bottom w:type="dxa" w:w="70"/>
              <w:right w:type="dxa" w:w="100"/>
            </w:tcMar>
          </w:tcPr>
          <w:p>
            <w:r>
              <w:rPr>
                <w:sz w:val="20"/>
                <w:szCs w:val="20"/>
              </w:rPr>
              <w:t xml:space="preserve">knowledge_base</w:t>
            </w:r>
          </w:p>
        </w:tc>
        <w:tc>
          <w:tcPr>
            <w:tcW w:type="dxa" w:w="6000"/>
            <w:shd w:fill="EAF0F8" w:color="auto" w:val="clear"/>
            <w:tcMar>
              <w:top w:type="dxa" w:w="70"/>
              <w:left w:type="dxa" w:w="100"/>
              <w:bottom w:type="dxa" w:w="70"/>
              <w:right w:type="dxa" w:w="100"/>
            </w:tcMar>
          </w:tcPr>
          <w:p>
            <w:r>
              <w:rPr>
                <w:sz w:val="20"/>
                <w:szCs w:val="20"/>
              </w:rPr>
              <w:t xml:space="preserve">Internal knowledge articles the AI assistant can read, summarise, or modify.</w:t>
            </w:r>
          </w:p>
        </w:tc>
      </w:tr>
      <w:tr>
        <w:tc>
          <w:tcPr>
            <w:tcW w:type="dxa" w:w="2200"/>
            <w:shd w:fill="FFFFFF" w:color="auto" w:val="clear"/>
            <w:tcMar>
              <w:top w:type="dxa" w:w="70"/>
              <w:left w:type="dxa" w:w="100"/>
              <w:bottom w:type="dxa" w:w="70"/>
              <w:right w:type="dxa" w:w="100"/>
            </w:tcMar>
          </w:tcPr>
          <w:p>
            <w:r>
              <w:rPr>
                <w:sz w:val="20"/>
                <w:szCs w:val="20"/>
              </w:rPr>
              <w:t xml:space="preserve">documents</w:t>
            </w:r>
          </w:p>
        </w:tc>
        <w:tc>
          <w:tcPr>
            <w:tcW w:type="dxa" w:w="6000"/>
            <w:shd w:fill="FFFFFF" w:color="auto" w:val="clear"/>
            <w:tcMar>
              <w:top w:type="dxa" w:w="70"/>
              <w:left w:type="dxa" w:w="100"/>
              <w:bottom w:type="dxa" w:w="70"/>
              <w:right w:type="dxa" w:w="100"/>
            </w:tcMar>
          </w:tcPr>
          <w:p>
            <w:r>
              <w:rPr>
                <w:sz w:val="20"/>
                <w:szCs w:val="20"/>
              </w:rPr>
              <w:t xml:space="preserve">Company documents managed through the assistant.</w:t>
            </w:r>
          </w:p>
        </w:tc>
      </w:tr>
      <w:tr>
        <w:tc>
          <w:tcPr>
            <w:tcW w:type="dxa" w:w="2200"/>
            <w:shd w:fill="EAF0F8" w:color="auto" w:val="clear"/>
            <w:tcMar>
              <w:top w:type="dxa" w:w="70"/>
              <w:left w:type="dxa" w:w="100"/>
              <w:bottom w:type="dxa" w:w="70"/>
              <w:right w:type="dxa" w:w="100"/>
            </w:tcMar>
          </w:tcPr>
          <w:p>
            <w:r>
              <w:rPr>
                <w:sz w:val="20"/>
                <w:szCs w:val="20"/>
              </w:rPr>
              <w:t xml:space="preserve">review_queue</w:t>
            </w:r>
          </w:p>
        </w:tc>
        <w:tc>
          <w:tcPr>
            <w:tcW w:type="dxa" w:w="6000"/>
            <w:shd w:fill="EAF0F8" w:color="auto" w:val="clear"/>
            <w:tcMar>
              <w:top w:type="dxa" w:w="70"/>
              <w:left w:type="dxa" w:w="100"/>
              <w:bottom w:type="dxa" w:w="70"/>
              <w:right w:type="dxa" w:w="100"/>
            </w:tcMar>
          </w:tcPr>
          <w:p>
            <w:r>
              <w:rPr>
                <w:sz w:val="20"/>
                <w:szCs w:val="20"/>
              </w:rPr>
              <w:t xml:space="preserve">Actions routed to Human Review, pending a decision.</w:t>
            </w:r>
          </w:p>
        </w:tc>
      </w:tr>
      <w:tr>
        <w:tc>
          <w:tcPr>
            <w:tcW w:type="dxa" w:w="2200"/>
            <w:shd w:fill="FFFFFF" w:color="auto" w:val="clear"/>
            <w:tcMar>
              <w:top w:type="dxa" w:w="70"/>
              <w:left w:type="dxa" w:w="100"/>
              <w:bottom w:type="dxa" w:w="70"/>
              <w:right w:type="dxa" w:w="100"/>
            </w:tcMar>
          </w:tcPr>
          <w:p>
            <w:r>
              <w:rPr>
                <w:sz w:val="20"/>
                <w:szCs w:val="20"/>
              </w:rPr>
              <w:t xml:space="preserve">audit_logs</w:t>
            </w:r>
          </w:p>
        </w:tc>
        <w:tc>
          <w:tcPr>
            <w:tcW w:type="dxa" w:w="6000"/>
            <w:shd w:fill="FFFFFF" w:color="auto" w:val="clear"/>
            <w:tcMar>
              <w:top w:type="dxa" w:w="70"/>
              <w:left w:type="dxa" w:w="100"/>
              <w:bottom w:type="dxa" w:w="70"/>
              <w:right w:type="dxa" w:w="100"/>
            </w:tcMar>
          </w:tcPr>
          <w:p>
            <w:r>
              <w:rPr>
                <w:sz w:val="20"/>
                <w:szCs w:val="20"/>
              </w:rPr>
              <w:t xml:space="preserve">Immutable log of every action, decision, and outcome.</w:t>
            </w:r>
          </w:p>
        </w:tc>
      </w:tr>
      <w:tr>
        <w:tc>
          <w:tcPr>
            <w:tcW w:type="dxa" w:w="2200"/>
            <w:shd w:fill="EAF0F8" w:color="auto" w:val="clear"/>
            <w:tcMar>
              <w:top w:type="dxa" w:w="70"/>
              <w:left w:type="dxa" w:w="100"/>
              <w:bottom w:type="dxa" w:w="70"/>
              <w:right w:type="dxa" w:w="100"/>
            </w:tcMar>
          </w:tcPr>
          <w:p>
            <w:r>
              <w:rPr>
                <w:sz w:val="20"/>
                <w:szCs w:val="20"/>
              </w:rPr>
              <w:t xml:space="preserve">settings</w:t>
            </w:r>
          </w:p>
        </w:tc>
        <w:tc>
          <w:tcPr>
            <w:tcW w:type="dxa" w:w="6000"/>
            <w:shd w:fill="EAF0F8" w:color="auto" w:val="clear"/>
            <w:tcMar>
              <w:top w:type="dxa" w:w="70"/>
              <w:left w:type="dxa" w:w="100"/>
              <w:bottom w:type="dxa" w:w="70"/>
              <w:right w:type="dxa" w:w="100"/>
            </w:tcMar>
          </w:tcPr>
          <w:p>
            <w:r>
              <w:rPr>
                <w:sz w:val="20"/>
                <w:szCs w:val="20"/>
              </w:rPr>
              <w:t xml:space="preserve">System and user-level configuration.</w:t>
            </w:r>
          </w:p>
        </w:tc>
      </w:tr>
    </w:tbl>
    <w:p>
      <w:pPr>
        <w:pStyle w:val="Heading1"/>
        <w:spacing w:after="160" w:before="360"/>
      </w:pPr>
      <w:r>
        <w:rPr>
          <w:b/>
          <w:bCs/>
          <w:color w:val="1F3864"/>
          <w:sz w:val="30"/>
          <w:szCs w:val="30"/>
        </w:rPr>
        <w:t xml:space="preserve">5. AI Workflow</w:t>
      </w:r>
    </w:p>
    <w:p>
      <w:pPr>
        <w:spacing w:after="120"/>
      </w:pPr>
      <w:r>
        <w:rPr>
          <w:sz w:val="22"/>
          <w:szCs w:val="22"/>
        </w:rPr>
        <w:t xml:space="preserve">Example: a user asks the assistant to “Delete Machine Learning knowledge article.” The request is processed as follows:</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Natural language request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AI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Gemini API — structured JSON action</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Planner Agent — execution plan</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Governance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Risk Engine → Policy Engine → Decision Engine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AUTO / CONFIRM / HUMAN REVIEW</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Review Agent</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Execution Service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Repository → Database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Audit Service</w:t>
      </w:r>
    </w:p>
    <w:p>
      <w:pPr>
        <w:spacing w:after="40"/>
        <w:jc w:val="center"/>
      </w:pPr>
      <w:r>
        <w:rPr>
          <w:color w:val="2E5395"/>
          <w:sz w:val="24"/>
          <w:szCs w:val="24"/>
        </w:rPr>
        <w:t xml:space="preserve">↓</w:t>
      </w:r>
    </w:p>
    <w:p>
      <w:pPr>
        <w:pBdr>
          <w:top w:val="single" w:color="2E5395" w:sz="4"/>
          <w:bottom w:val="single" w:color="2E5395" w:sz="4"/>
          <w:left w:val="single" w:color="2E5395" w:sz="4"/>
          <w:right w:val="single" w:color="2E5395" w:sz="4"/>
        </w:pBdr>
        <w:shd w:fill="EAF0F8" w:color="auto" w:val="clear"/>
        <w:spacing w:after="40"/>
        <w:jc w:val="center"/>
      </w:pPr>
      <w:r>
        <w:rPr>
          <w:b/>
          <w:bCs/>
          <w:color w:val="1F3864"/>
          <w:sz w:val="20"/>
          <w:szCs w:val="20"/>
        </w:rPr>
        <w:t xml:space="preserve">Learning Service</w:t>
      </w:r>
    </w:p>
    <w:p>
      <w:r>
        <w:br w:type="page"/>
      </w:r>
    </w:p>
    <w:p>
      <w:pPr>
        <w:pStyle w:val="Heading1"/>
        <w:spacing w:after="160" w:before="360"/>
      </w:pPr>
      <w:r>
        <w:rPr>
          <w:b/>
          <w:bCs/>
          <w:color w:val="1F3864"/>
          <w:sz w:val="30"/>
          <w:szCs w:val="30"/>
        </w:rPr>
        <w:t xml:space="preserve">6. API Endpoints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200"/>
      </w:tblGrid>
      <w:tr>
        <w:trPr>
          <w:tblHeader/>
        </w:trPr>
        <w:tc>
          <w:tcPr>
            <w:tcW w:type="dxa" w:w="1400"/>
            <w:shd w:fill="1F3864" w:color="auto" w:val="clear"/>
            <w:tcMar>
              <w:top w:type="dxa" w:w="80"/>
              <w:left w:type="dxa" w:w="100"/>
              <w:bottom w:type="dxa" w:w="80"/>
              <w:right w:type="dxa" w:w="100"/>
            </w:tcMar>
          </w:tcPr>
          <w:p>
            <w:r>
              <w:rPr>
                <w:b/>
                <w:bCs/>
                <w:color w:val="FFFFFF"/>
                <w:sz w:val="20"/>
                <w:szCs w:val="20"/>
              </w:rPr>
              <w:t xml:space="preserve">Method</w:t>
            </w:r>
          </w:p>
        </w:tc>
        <w:tc>
          <w:tcPr>
            <w:tcW w:type="dxa" w:w="2600"/>
            <w:shd w:fill="1F3864" w:color="auto" w:val="clear"/>
            <w:tcMar>
              <w:top w:type="dxa" w:w="80"/>
              <w:left w:type="dxa" w:w="100"/>
              <w:bottom w:type="dxa" w:w="80"/>
              <w:right w:type="dxa" w:w="100"/>
            </w:tcMar>
          </w:tcPr>
          <w:p>
            <w:r>
              <w:rPr>
                <w:b/>
                <w:bCs/>
                <w:color w:val="FFFFFF"/>
                <w:sz w:val="20"/>
                <w:szCs w:val="20"/>
              </w:rPr>
              <w:t xml:space="preserve">Endpoint</w:t>
            </w:r>
          </w:p>
        </w:tc>
        <w:tc>
          <w:tcPr>
            <w:tcW w:type="dxa" w:w="420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1400"/>
            <w:shd w:fill="FFFFFF" w:color="auto" w:val="clear"/>
            <w:tcMar>
              <w:top w:type="dxa" w:w="70"/>
              <w:left w:type="dxa" w:w="100"/>
              <w:bottom w:type="dxa" w:w="70"/>
              <w:right w:type="dxa" w:w="100"/>
            </w:tcMar>
          </w:tcPr>
          <w:p>
            <w:r>
              <w:rPr>
                <w:sz w:val="20"/>
                <w:szCs w:val="20"/>
              </w:rPr>
              <w:t xml:space="preserve">POST</w:t>
            </w:r>
          </w:p>
        </w:tc>
        <w:tc>
          <w:tcPr>
            <w:tcW w:type="dxa" w:w="2600"/>
            <w:shd w:fill="FFFFFF" w:color="auto" w:val="clear"/>
            <w:tcMar>
              <w:top w:type="dxa" w:w="70"/>
              <w:left w:type="dxa" w:w="100"/>
              <w:bottom w:type="dxa" w:w="70"/>
              <w:right w:type="dxa" w:w="100"/>
            </w:tcMar>
          </w:tcPr>
          <w:p>
            <w:r>
              <w:rPr>
                <w:sz w:val="20"/>
                <w:szCs w:val="20"/>
              </w:rPr>
              <w:t xml:space="preserve">/api/chat</w:t>
            </w:r>
          </w:p>
        </w:tc>
        <w:tc>
          <w:tcPr>
            <w:tcW w:type="dxa" w:w="4200"/>
            <w:shd w:fill="FFFFFF" w:color="auto" w:val="clear"/>
            <w:tcMar>
              <w:top w:type="dxa" w:w="70"/>
              <w:left w:type="dxa" w:w="100"/>
              <w:bottom w:type="dxa" w:w="70"/>
              <w:right w:type="dxa" w:w="100"/>
            </w:tcMar>
          </w:tcPr>
          <w:p>
            <w:r>
              <w:rPr>
                <w:sz w:val="20"/>
                <w:szCs w:val="20"/>
              </w:rPr>
              <w:t xml:space="preserve">Send a natural-language request to the AI assistant.</w:t>
            </w:r>
          </w:p>
        </w:tc>
      </w:tr>
      <w:tr>
        <w:tc>
          <w:tcPr>
            <w:tcW w:type="dxa" w:w="1400"/>
            <w:shd w:fill="EAF0F8" w:color="auto" w:val="clear"/>
            <w:tcMar>
              <w:top w:type="dxa" w:w="70"/>
              <w:left w:type="dxa" w:w="100"/>
              <w:bottom w:type="dxa" w:w="70"/>
              <w:right w:type="dxa" w:w="100"/>
            </w:tcMar>
          </w:tcPr>
          <w:p>
            <w:r>
              <w:rPr>
                <w:sz w:val="20"/>
                <w:szCs w:val="20"/>
              </w:rPr>
              <w:t xml:space="preserve">POST</w:t>
            </w:r>
          </w:p>
        </w:tc>
        <w:tc>
          <w:tcPr>
            <w:tcW w:type="dxa" w:w="2600"/>
            <w:shd w:fill="EAF0F8" w:color="auto" w:val="clear"/>
            <w:tcMar>
              <w:top w:type="dxa" w:w="70"/>
              <w:left w:type="dxa" w:w="100"/>
              <w:bottom w:type="dxa" w:w="70"/>
              <w:right w:type="dxa" w:w="100"/>
            </w:tcMar>
          </w:tcPr>
          <w:p>
            <w:r>
              <w:rPr>
                <w:sz w:val="20"/>
                <w:szCs w:val="20"/>
              </w:rPr>
              <w:t xml:space="preserve">/api/governance</w:t>
            </w:r>
          </w:p>
        </w:tc>
        <w:tc>
          <w:tcPr>
            <w:tcW w:type="dxa" w:w="4200"/>
            <w:shd w:fill="EAF0F8" w:color="auto" w:val="clear"/>
            <w:tcMar>
              <w:top w:type="dxa" w:w="70"/>
              <w:left w:type="dxa" w:w="100"/>
              <w:bottom w:type="dxa" w:w="70"/>
              <w:right w:type="dxa" w:w="100"/>
            </w:tcMar>
          </w:tcPr>
          <w:p>
            <w:r>
              <w:rPr>
                <w:sz w:val="20"/>
                <w:szCs w:val="20"/>
              </w:rPr>
              <w:t xml:space="preserve">Submit an action for governance evaluation.</w:t>
            </w:r>
          </w:p>
        </w:tc>
      </w:tr>
      <w:tr>
        <w:tc>
          <w:tcPr>
            <w:tcW w:type="dxa" w:w="1400"/>
            <w:shd w:fill="FFFFFF" w:color="auto" w:val="clear"/>
            <w:tcMar>
              <w:top w:type="dxa" w:w="70"/>
              <w:left w:type="dxa" w:w="100"/>
              <w:bottom w:type="dxa" w:w="70"/>
              <w:right w:type="dxa" w:w="100"/>
            </w:tcMar>
          </w:tcPr>
          <w:p>
            <w:r>
              <w:rPr>
                <w:sz w:val="20"/>
                <w:szCs w:val="20"/>
              </w:rPr>
              <w:t xml:space="preserve">POST</w:t>
            </w:r>
          </w:p>
        </w:tc>
        <w:tc>
          <w:tcPr>
            <w:tcW w:type="dxa" w:w="2600"/>
            <w:shd w:fill="FFFFFF" w:color="auto" w:val="clear"/>
            <w:tcMar>
              <w:top w:type="dxa" w:w="70"/>
              <w:left w:type="dxa" w:w="100"/>
              <w:bottom w:type="dxa" w:w="70"/>
              <w:right w:type="dxa" w:w="100"/>
            </w:tcMar>
          </w:tcPr>
          <w:p>
            <w:r>
              <w:rPr>
                <w:sz w:val="20"/>
                <w:szCs w:val="20"/>
              </w:rPr>
              <w:t xml:space="preserve">/api/review</w:t>
            </w:r>
          </w:p>
        </w:tc>
        <w:tc>
          <w:tcPr>
            <w:tcW w:type="dxa" w:w="4200"/>
            <w:shd w:fill="FFFFFF" w:color="auto" w:val="clear"/>
            <w:tcMar>
              <w:top w:type="dxa" w:w="70"/>
              <w:left w:type="dxa" w:w="100"/>
              <w:bottom w:type="dxa" w:w="70"/>
              <w:right w:type="dxa" w:w="100"/>
            </w:tcMar>
          </w:tcPr>
          <w:p>
            <w:r>
              <w:rPr>
                <w:sz w:val="20"/>
                <w:szCs w:val="20"/>
              </w:rPr>
              <w:t xml:space="preserve">Submit a human review decision for a queued action.</w:t>
            </w:r>
          </w:p>
        </w:tc>
      </w:tr>
      <w:tr>
        <w:tc>
          <w:tcPr>
            <w:tcW w:type="dxa" w:w="1400"/>
            <w:shd w:fill="EAF0F8" w:color="auto" w:val="clear"/>
            <w:tcMar>
              <w:top w:type="dxa" w:w="70"/>
              <w:left w:type="dxa" w:w="100"/>
              <w:bottom w:type="dxa" w:w="70"/>
              <w:right w:type="dxa" w:w="100"/>
            </w:tcMar>
          </w:tcPr>
          <w:p>
            <w:r>
              <w:rPr>
                <w:sz w:val="20"/>
                <w:szCs w:val="20"/>
              </w:rPr>
              <w:t xml:space="preserve">POST</w:t>
            </w:r>
          </w:p>
        </w:tc>
        <w:tc>
          <w:tcPr>
            <w:tcW w:type="dxa" w:w="2600"/>
            <w:shd w:fill="EAF0F8" w:color="auto" w:val="clear"/>
            <w:tcMar>
              <w:top w:type="dxa" w:w="70"/>
              <w:left w:type="dxa" w:w="100"/>
              <w:bottom w:type="dxa" w:w="70"/>
              <w:right w:type="dxa" w:w="100"/>
            </w:tcMar>
          </w:tcPr>
          <w:p>
            <w:r>
              <w:rPr>
                <w:sz w:val="20"/>
                <w:szCs w:val="20"/>
              </w:rPr>
              <w:t xml:space="preserve">/api/execute</w:t>
            </w:r>
          </w:p>
        </w:tc>
        <w:tc>
          <w:tcPr>
            <w:tcW w:type="dxa" w:w="4200"/>
            <w:shd w:fill="EAF0F8" w:color="auto" w:val="clear"/>
            <w:tcMar>
              <w:top w:type="dxa" w:w="70"/>
              <w:left w:type="dxa" w:w="100"/>
              <w:bottom w:type="dxa" w:w="70"/>
              <w:right w:type="dxa" w:w="100"/>
            </w:tcMar>
          </w:tcPr>
          <w:p>
            <w:r>
              <w:rPr>
                <w:sz w:val="20"/>
                <w:szCs w:val="20"/>
              </w:rPr>
              <w:t xml:space="preserve">Trigger execution of an approved action.</w:t>
            </w:r>
          </w:p>
        </w:tc>
      </w:tr>
      <w:tr>
        <w:tc>
          <w:tcPr>
            <w:tcW w:type="dxa" w:w="1400"/>
            <w:shd w:fill="FFFFFF" w:color="auto" w:val="clear"/>
            <w:tcMar>
              <w:top w:type="dxa" w:w="70"/>
              <w:left w:type="dxa" w:w="100"/>
              <w:bottom w:type="dxa" w:w="70"/>
              <w:right w:type="dxa" w:w="100"/>
            </w:tcMar>
          </w:tcPr>
          <w:p>
            <w:r>
              <w:rPr>
                <w:sz w:val="20"/>
                <w:szCs w:val="20"/>
              </w:rPr>
              <w:t xml:space="preserve">GET</w:t>
            </w:r>
          </w:p>
        </w:tc>
        <w:tc>
          <w:tcPr>
            <w:tcW w:type="dxa" w:w="2600"/>
            <w:shd w:fill="FFFFFF" w:color="auto" w:val="clear"/>
            <w:tcMar>
              <w:top w:type="dxa" w:w="70"/>
              <w:left w:type="dxa" w:w="100"/>
              <w:bottom w:type="dxa" w:w="70"/>
              <w:right w:type="dxa" w:w="100"/>
            </w:tcMar>
          </w:tcPr>
          <w:p>
            <w:r>
              <w:rPr>
                <w:sz w:val="20"/>
                <w:szCs w:val="20"/>
              </w:rPr>
              <w:t xml:space="preserve">/api/dashboard</w:t>
            </w:r>
          </w:p>
        </w:tc>
        <w:tc>
          <w:tcPr>
            <w:tcW w:type="dxa" w:w="4200"/>
            <w:shd w:fill="FFFFFF" w:color="auto" w:val="clear"/>
            <w:tcMar>
              <w:top w:type="dxa" w:w="70"/>
              <w:left w:type="dxa" w:w="100"/>
              <w:bottom w:type="dxa" w:w="70"/>
              <w:right w:type="dxa" w:w="100"/>
            </w:tcMar>
          </w:tcPr>
          <w:p>
            <w:r>
              <w:rPr>
                <w:sz w:val="20"/>
                <w:szCs w:val="20"/>
              </w:rPr>
              <w:t xml:space="preserve">Retrieve dashboard summary statistics.</w:t>
            </w:r>
          </w:p>
        </w:tc>
      </w:tr>
      <w:tr>
        <w:tc>
          <w:tcPr>
            <w:tcW w:type="dxa" w:w="1400"/>
            <w:shd w:fill="EAF0F8" w:color="auto" w:val="clear"/>
            <w:tcMar>
              <w:top w:type="dxa" w:w="70"/>
              <w:left w:type="dxa" w:w="100"/>
              <w:bottom w:type="dxa" w:w="70"/>
              <w:right w:type="dxa" w:w="100"/>
            </w:tcMar>
          </w:tcPr>
          <w:p>
            <w:r>
              <w:rPr>
                <w:sz w:val="20"/>
                <w:szCs w:val="20"/>
              </w:rPr>
              <w:t xml:space="preserve">GET</w:t>
            </w:r>
          </w:p>
        </w:tc>
        <w:tc>
          <w:tcPr>
            <w:tcW w:type="dxa" w:w="2600"/>
            <w:shd w:fill="EAF0F8" w:color="auto" w:val="clear"/>
            <w:tcMar>
              <w:top w:type="dxa" w:w="70"/>
              <w:left w:type="dxa" w:w="100"/>
              <w:bottom w:type="dxa" w:w="70"/>
              <w:right w:type="dxa" w:w="100"/>
            </w:tcMar>
          </w:tcPr>
          <w:p>
            <w:r>
              <w:rPr>
                <w:sz w:val="20"/>
                <w:szCs w:val="20"/>
              </w:rPr>
              <w:t xml:space="preserve">/api/audit</w:t>
            </w:r>
          </w:p>
        </w:tc>
        <w:tc>
          <w:tcPr>
            <w:tcW w:type="dxa" w:w="4200"/>
            <w:shd w:fill="EAF0F8" w:color="auto" w:val="clear"/>
            <w:tcMar>
              <w:top w:type="dxa" w:w="70"/>
              <w:left w:type="dxa" w:w="100"/>
              <w:bottom w:type="dxa" w:w="70"/>
              <w:right w:type="dxa" w:w="100"/>
            </w:tcMar>
          </w:tcPr>
          <w:p>
            <w:r>
              <w:rPr>
                <w:sz w:val="20"/>
                <w:szCs w:val="20"/>
              </w:rPr>
              <w:t xml:space="preserve">Retrieve audit log history.</w:t>
            </w:r>
          </w:p>
        </w:tc>
      </w:tr>
      <w:tr>
        <w:tc>
          <w:tcPr>
            <w:tcW w:type="dxa" w:w="1400"/>
            <w:shd w:fill="FFFFFF" w:color="auto" w:val="clear"/>
            <w:tcMar>
              <w:top w:type="dxa" w:w="70"/>
              <w:left w:type="dxa" w:w="100"/>
              <w:bottom w:type="dxa" w:w="70"/>
              <w:right w:type="dxa" w:w="100"/>
            </w:tcMar>
          </w:tcPr>
          <w:p>
            <w:r>
              <w:rPr>
                <w:sz w:val="20"/>
                <w:szCs w:val="20"/>
              </w:rPr>
              <w:t xml:space="preserve">GET</w:t>
            </w:r>
          </w:p>
        </w:tc>
        <w:tc>
          <w:tcPr>
            <w:tcW w:type="dxa" w:w="2600"/>
            <w:shd w:fill="FFFFFF" w:color="auto" w:val="clear"/>
            <w:tcMar>
              <w:top w:type="dxa" w:w="70"/>
              <w:left w:type="dxa" w:w="100"/>
              <w:bottom w:type="dxa" w:w="70"/>
              <w:right w:type="dxa" w:w="100"/>
            </w:tcMar>
          </w:tcPr>
          <w:p>
            <w:r>
              <w:rPr>
                <w:sz w:val="20"/>
                <w:szCs w:val="20"/>
              </w:rPr>
              <w:t xml:space="preserve">/api/analytics</w:t>
            </w:r>
          </w:p>
        </w:tc>
        <w:tc>
          <w:tcPr>
            <w:tcW w:type="dxa" w:w="4200"/>
            <w:shd w:fill="FFFFFF" w:color="auto" w:val="clear"/>
            <w:tcMar>
              <w:top w:type="dxa" w:w="70"/>
              <w:left w:type="dxa" w:w="100"/>
              <w:bottom w:type="dxa" w:w="70"/>
              <w:right w:type="dxa" w:w="100"/>
            </w:tcMar>
          </w:tcPr>
          <w:p>
            <w:r>
              <w:rPr>
                <w:sz w:val="20"/>
                <w:szCs w:val="20"/>
              </w:rPr>
              <w:t xml:space="preserve">Retrieve analytics data for charts/trends.</w:t>
            </w:r>
          </w:p>
        </w:tc>
      </w:tr>
      <w:tr>
        <w:tc>
          <w:tcPr>
            <w:tcW w:type="dxa" w:w="1400"/>
            <w:shd w:fill="EAF0F8" w:color="auto" w:val="clear"/>
            <w:tcMar>
              <w:top w:type="dxa" w:w="70"/>
              <w:left w:type="dxa" w:w="100"/>
              <w:bottom w:type="dxa" w:w="70"/>
              <w:right w:type="dxa" w:w="100"/>
            </w:tcMar>
          </w:tcPr>
          <w:p>
            <w:r>
              <w:rPr>
                <w:sz w:val="20"/>
                <w:szCs w:val="20"/>
              </w:rPr>
              <w:t xml:space="preserve">GET</w:t>
            </w:r>
          </w:p>
        </w:tc>
        <w:tc>
          <w:tcPr>
            <w:tcW w:type="dxa" w:w="2600"/>
            <w:shd w:fill="EAF0F8" w:color="auto" w:val="clear"/>
            <w:tcMar>
              <w:top w:type="dxa" w:w="70"/>
              <w:left w:type="dxa" w:w="100"/>
              <w:bottom w:type="dxa" w:w="70"/>
              <w:right w:type="dxa" w:w="100"/>
            </w:tcMar>
          </w:tcPr>
          <w:p>
            <w:r>
              <w:rPr>
                <w:sz w:val="20"/>
                <w:szCs w:val="20"/>
              </w:rPr>
              <w:t xml:space="preserve">/api/settings</w:t>
            </w:r>
          </w:p>
        </w:tc>
        <w:tc>
          <w:tcPr>
            <w:tcW w:type="dxa" w:w="4200"/>
            <w:shd w:fill="EAF0F8" w:color="auto" w:val="clear"/>
            <w:tcMar>
              <w:top w:type="dxa" w:w="70"/>
              <w:left w:type="dxa" w:w="100"/>
              <w:bottom w:type="dxa" w:w="70"/>
              <w:right w:type="dxa" w:w="100"/>
            </w:tcMar>
          </w:tcPr>
          <w:p>
            <w:r>
              <w:rPr>
                <w:sz w:val="20"/>
                <w:szCs w:val="20"/>
              </w:rPr>
              <w:t xml:space="preserve">Retrieve current system/user settings.</w:t>
            </w:r>
          </w:p>
        </w:tc>
      </w:tr>
      <w:tr>
        <w:tc>
          <w:tcPr>
            <w:tcW w:type="dxa" w:w="1400"/>
            <w:shd w:fill="FFFFFF" w:color="auto" w:val="clear"/>
            <w:tcMar>
              <w:top w:type="dxa" w:w="70"/>
              <w:left w:type="dxa" w:w="100"/>
              <w:bottom w:type="dxa" w:w="70"/>
              <w:right w:type="dxa" w:w="100"/>
            </w:tcMar>
          </w:tcPr>
          <w:p>
            <w:r>
              <w:rPr>
                <w:sz w:val="20"/>
                <w:szCs w:val="20"/>
              </w:rPr>
              <w:t xml:space="preserve">PUT</w:t>
            </w:r>
          </w:p>
        </w:tc>
        <w:tc>
          <w:tcPr>
            <w:tcW w:type="dxa" w:w="2600"/>
            <w:shd w:fill="FFFFFF" w:color="auto" w:val="clear"/>
            <w:tcMar>
              <w:top w:type="dxa" w:w="70"/>
              <w:left w:type="dxa" w:w="100"/>
              <w:bottom w:type="dxa" w:w="70"/>
              <w:right w:type="dxa" w:w="100"/>
            </w:tcMar>
          </w:tcPr>
          <w:p>
            <w:r>
              <w:rPr>
                <w:sz w:val="20"/>
                <w:szCs w:val="20"/>
              </w:rPr>
              <w:t xml:space="preserve">/api/settings</w:t>
            </w:r>
          </w:p>
        </w:tc>
        <w:tc>
          <w:tcPr>
            <w:tcW w:type="dxa" w:w="4200"/>
            <w:shd w:fill="FFFFFF" w:color="auto" w:val="clear"/>
            <w:tcMar>
              <w:top w:type="dxa" w:w="70"/>
              <w:left w:type="dxa" w:w="100"/>
              <w:bottom w:type="dxa" w:w="70"/>
              <w:right w:type="dxa" w:w="100"/>
            </w:tcMar>
          </w:tcPr>
          <w:p>
            <w:r>
              <w:rPr>
                <w:sz w:val="20"/>
                <w:szCs w:val="20"/>
              </w:rPr>
              <w:t xml:space="preserve">Update system/user settings.</w:t>
            </w:r>
          </w:p>
        </w:tc>
      </w:tr>
    </w:tbl>
    <w:p>
      <w:pPr>
        <w:pStyle w:val="Heading1"/>
        <w:spacing w:after="160" w:before="360"/>
      </w:pPr>
      <w:r>
        <w:rPr>
          <w:b/>
          <w:bCs/>
          <w:color w:val="1F3864"/>
          <w:sz w:val="30"/>
          <w:szCs w:val="30"/>
        </w:rPr>
        <w:t xml:space="preserve">7. Frontend Integration</w:t>
      </w:r>
    </w:p>
    <w:p>
      <w:pPr>
        <w:spacing w:after="120"/>
      </w:pPr>
      <w:r>
        <w:rPr>
          <w:sz w:val="22"/>
          <w:szCs w:val="22"/>
        </w:rPr>
        <w:t xml:space="preserve">The frontend is treated as a completed deliverable. Backend work connects to it via the Fetch API for request/response calls and WebSockets for realtime updates — no manual page refreshes.</w:t>
      </w:r>
    </w:p>
    <w:p>
      <w:pPr>
        <w:pStyle w:val="Heading2"/>
        <w:spacing w:after="120" w:before="260"/>
      </w:pPr>
      <w:r>
        <w:rPr>
          <w:b/>
          <w:bCs/>
          <w:color w:val="2E5395"/>
          <w:sz w:val="24"/>
          <w:szCs w:val="24"/>
        </w:rPr>
        <w:t xml:space="preserve">7.1 UI Feature Surface</w:t>
      </w:r>
    </w:p>
    <w:p>
      <w:pPr>
        <w:pStyle w:val="ListParagraph"/>
        <w:numPr>
          <w:ilvl w:val="0"/>
          <w:numId w:val="2"/>
        </w:numPr>
        <w:spacing w:after="60"/>
      </w:pPr>
      <w:r>
        <w:rPr>
          <w:sz w:val="22"/>
          <w:szCs w:val="22"/>
        </w:rPr>
        <w:t xml:space="preserve">Dark Mode / Light Mode</w:t>
      </w:r>
    </w:p>
    <w:p>
      <w:pPr>
        <w:pStyle w:val="ListParagraph"/>
        <w:numPr>
          <w:ilvl w:val="0"/>
          <w:numId w:val="2"/>
        </w:numPr>
        <w:spacing w:after="60"/>
      </w:pPr>
      <w:r>
        <w:rPr>
          <w:sz w:val="22"/>
          <w:szCs w:val="22"/>
        </w:rPr>
        <w:t xml:space="preserve">Language Switcher</w:t>
      </w:r>
    </w:p>
    <w:p>
      <w:pPr>
        <w:pStyle w:val="ListParagraph"/>
        <w:numPr>
          <w:ilvl w:val="0"/>
          <w:numId w:val="2"/>
        </w:numPr>
        <w:spacing w:after="60"/>
      </w:pPr>
      <w:r>
        <w:rPr>
          <w:sz w:val="22"/>
          <w:szCs w:val="22"/>
        </w:rPr>
        <w:t xml:space="preserve">Responsive Layout</w:t>
      </w:r>
    </w:p>
    <w:p>
      <w:pPr>
        <w:pStyle w:val="ListParagraph"/>
        <w:numPr>
          <w:ilvl w:val="0"/>
          <w:numId w:val="2"/>
        </w:numPr>
        <w:spacing w:after="60"/>
      </w:pPr>
      <w:r>
        <w:rPr>
          <w:sz w:val="22"/>
          <w:szCs w:val="22"/>
        </w:rPr>
        <w:t xml:space="preserve">Dashboard</w:t>
      </w:r>
    </w:p>
    <w:p>
      <w:pPr>
        <w:pStyle w:val="ListParagraph"/>
        <w:numPr>
          <w:ilvl w:val="0"/>
          <w:numId w:val="2"/>
        </w:numPr>
        <w:spacing w:after="60"/>
      </w:pPr>
      <w:r>
        <w:rPr>
          <w:sz w:val="22"/>
          <w:szCs w:val="22"/>
        </w:rPr>
        <w:t xml:space="preserve">Analytics</w:t>
      </w:r>
    </w:p>
    <w:p>
      <w:pPr>
        <w:pStyle w:val="ListParagraph"/>
        <w:numPr>
          <w:ilvl w:val="0"/>
          <w:numId w:val="2"/>
        </w:numPr>
        <w:spacing w:after="60"/>
      </w:pPr>
      <w:r>
        <w:rPr>
          <w:sz w:val="22"/>
          <w:szCs w:val="22"/>
        </w:rPr>
        <w:t xml:space="preserve">Review Queue</w:t>
      </w:r>
    </w:p>
    <w:p>
      <w:pPr>
        <w:pStyle w:val="ListParagraph"/>
        <w:numPr>
          <w:ilvl w:val="0"/>
          <w:numId w:val="2"/>
        </w:numPr>
        <w:spacing w:after="60"/>
      </w:pPr>
      <w:r>
        <w:rPr>
          <w:sz w:val="22"/>
          <w:szCs w:val="22"/>
        </w:rPr>
        <w:t xml:space="preserve">Audit Logs</w:t>
      </w:r>
    </w:p>
    <w:p>
      <w:pPr>
        <w:pStyle w:val="ListParagraph"/>
        <w:numPr>
          <w:ilvl w:val="0"/>
          <w:numId w:val="2"/>
        </w:numPr>
        <w:spacing w:after="60"/>
      </w:pPr>
      <w:r>
        <w:rPr>
          <w:sz w:val="22"/>
          <w:szCs w:val="22"/>
        </w:rPr>
        <w:t xml:space="preserve">Settings</w:t>
      </w:r>
    </w:p>
    <w:p>
      <w:pPr>
        <w:pStyle w:val="ListParagraph"/>
        <w:numPr>
          <w:ilvl w:val="0"/>
          <w:numId w:val="2"/>
        </w:numPr>
        <w:spacing w:after="60"/>
      </w:pPr>
      <w:r>
        <w:rPr>
          <w:sz w:val="22"/>
          <w:szCs w:val="22"/>
        </w:rPr>
        <w:t xml:space="preserve">AI Assistant chat interface</w:t>
      </w:r>
    </w:p>
    <w:p>
      <w:pPr>
        <w:pStyle w:val="ListParagraph"/>
        <w:numPr>
          <w:ilvl w:val="0"/>
          <w:numId w:val="2"/>
        </w:numPr>
        <w:spacing w:after="60"/>
      </w:pPr>
      <w:r>
        <w:rPr>
          <w:sz w:val="22"/>
          <w:szCs w:val="22"/>
        </w:rPr>
        <w:t xml:space="preserve">Workflow Timeline</w:t>
      </w:r>
    </w:p>
    <w:p>
      <w:pPr>
        <w:pStyle w:val="ListParagraph"/>
        <w:numPr>
          <w:ilvl w:val="0"/>
          <w:numId w:val="2"/>
        </w:numPr>
        <w:spacing w:after="60"/>
      </w:pPr>
      <w:r>
        <w:rPr>
          <w:sz w:val="22"/>
          <w:szCs w:val="22"/>
        </w:rPr>
        <w:t xml:space="preserve">Risk Gauge</w:t>
      </w:r>
    </w:p>
    <w:p>
      <w:pPr>
        <w:pStyle w:val="ListParagraph"/>
        <w:numPr>
          <w:ilvl w:val="0"/>
          <w:numId w:val="2"/>
        </w:numPr>
        <w:spacing w:after="60"/>
      </w:pPr>
      <w:r>
        <w:rPr>
          <w:sz w:val="22"/>
          <w:szCs w:val="22"/>
        </w:rPr>
        <w:t xml:space="preserve">Charts (Chart.js)</w:t>
      </w:r>
    </w:p>
    <w:p>
      <w:pPr>
        <w:pStyle w:val="ListParagraph"/>
        <w:numPr>
          <w:ilvl w:val="0"/>
          <w:numId w:val="2"/>
        </w:numPr>
        <w:spacing w:after="60"/>
      </w:pPr>
      <w:r>
        <w:rPr>
          <w:sz w:val="22"/>
          <w:szCs w:val="22"/>
        </w:rPr>
        <w:t xml:space="preserve">Notifications</w:t>
      </w:r>
    </w:p>
    <w:p>
      <w:r>
        <w:br w:type="page"/>
      </w:r>
    </w:p>
    <w:p>
      <w:pPr>
        <w:pStyle w:val="Heading1"/>
        <w:spacing w:after="160" w:before="360"/>
      </w:pPr>
      <w:r>
        <w:rPr>
          <w:b/>
          <w:bCs/>
          <w:color w:val="1F3864"/>
          <w:sz w:val="30"/>
          <w:szCs w:val="30"/>
        </w:rPr>
        <w:t xml:space="preserve">8. Engineering Standards</w:t>
      </w:r>
    </w:p>
    <w:p>
      <w:pPr>
        <w:pStyle w:val="Heading2"/>
        <w:spacing w:after="120" w:before="260"/>
      </w:pPr>
      <w:r>
        <w:rPr>
          <w:b/>
          <w:bCs/>
          <w:color w:val="2E5395"/>
          <w:sz w:val="24"/>
          <w:szCs w:val="24"/>
        </w:rPr>
        <w:t xml:space="preserve">8.1 Code Quality Practices</w:t>
      </w:r>
    </w:p>
    <w:p>
      <w:pPr>
        <w:pStyle w:val="ListParagraph"/>
        <w:numPr>
          <w:ilvl w:val="0"/>
          <w:numId w:val="2"/>
        </w:numPr>
        <w:spacing w:after="60"/>
      </w:pPr>
      <w:r>
        <w:rPr>
          <w:sz w:val="22"/>
          <w:szCs w:val="22"/>
        </w:rPr>
        <w:t xml:space="preserve">SOLID principles</w:t>
      </w:r>
    </w:p>
    <w:p>
      <w:pPr>
        <w:pStyle w:val="ListParagraph"/>
        <w:numPr>
          <w:ilvl w:val="0"/>
          <w:numId w:val="2"/>
        </w:numPr>
        <w:spacing w:after="60"/>
      </w:pPr>
      <w:r>
        <w:rPr>
          <w:sz w:val="22"/>
          <w:szCs w:val="22"/>
        </w:rPr>
        <w:t xml:space="preserve">Repository pattern</w:t>
      </w:r>
    </w:p>
    <w:p>
      <w:pPr>
        <w:pStyle w:val="ListParagraph"/>
        <w:numPr>
          <w:ilvl w:val="0"/>
          <w:numId w:val="2"/>
        </w:numPr>
        <w:spacing w:after="60"/>
      </w:pPr>
      <w:r>
        <w:rPr>
          <w:sz w:val="22"/>
          <w:szCs w:val="22"/>
        </w:rPr>
        <w:t xml:space="preserve">Service layer pattern</w:t>
      </w:r>
    </w:p>
    <w:p>
      <w:pPr>
        <w:pStyle w:val="ListParagraph"/>
        <w:numPr>
          <w:ilvl w:val="0"/>
          <w:numId w:val="2"/>
        </w:numPr>
        <w:spacing w:after="60"/>
      </w:pPr>
      <w:r>
        <w:rPr>
          <w:sz w:val="22"/>
          <w:szCs w:val="22"/>
        </w:rPr>
        <w:t xml:space="preserve">Dependency injection</w:t>
      </w:r>
    </w:p>
    <w:p>
      <w:pPr>
        <w:pStyle w:val="ListParagraph"/>
        <w:numPr>
          <w:ilvl w:val="0"/>
          <w:numId w:val="2"/>
        </w:numPr>
        <w:spacing w:after="60"/>
      </w:pPr>
      <w:r>
        <w:rPr>
          <w:sz w:val="22"/>
          <w:szCs w:val="22"/>
        </w:rPr>
        <w:t xml:space="preserve">Async programming throughout the request path</w:t>
      </w:r>
    </w:p>
    <w:p>
      <w:pPr>
        <w:pStyle w:val="ListParagraph"/>
        <w:numPr>
          <w:ilvl w:val="0"/>
          <w:numId w:val="2"/>
        </w:numPr>
        <w:spacing w:after="60"/>
      </w:pPr>
      <w:r>
        <w:rPr>
          <w:sz w:val="22"/>
          <w:szCs w:val="22"/>
        </w:rPr>
        <w:t xml:space="preserve">Type hints on all public functions</w:t>
      </w:r>
    </w:p>
    <w:p>
      <w:pPr>
        <w:pStyle w:val="ListParagraph"/>
        <w:numPr>
          <w:ilvl w:val="0"/>
          <w:numId w:val="2"/>
        </w:numPr>
        <w:spacing w:after="60"/>
      </w:pPr>
      <w:r>
        <w:rPr>
          <w:sz w:val="22"/>
          <w:szCs w:val="22"/>
        </w:rPr>
        <w:t xml:space="preserve">Docstrings on modules, classes, and functions</w:t>
      </w:r>
    </w:p>
    <w:p>
      <w:pPr>
        <w:pStyle w:val="ListParagraph"/>
        <w:numPr>
          <w:ilvl w:val="0"/>
          <w:numId w:val="2"/>
        </w:numPr>
        <w:spacing w:after="60"/>
      </w:pPr>
      <w:r>
        <w:rPr>
          <w:sz w:val="22"/>
          <w:szCs w:val="22"/>
        </w:rPr>
        <w:t xml:space="preserve">Structured logging</w:t>
      </w:r>
    </w:p>
    <w:p>
      <w:pPr>
        <w:pStyle w:val="ListParagraph"/>
        <w:numPr>
          <w:ilvl w:val="0"/>
          <w:numId w:val="2"/>
        </w:numPr>
        <w:spacing w:after="60"/>
      </w:pPr>
      <w:r>
        <w:rPr>
          <w:sz w:val="22"/>
          <w:szCs w:val="22"/>
        </w:rPr>
        <w:t xml:space="preserve">Explicit exception handling</w:t>
      </w:r>
    </w:p>
    <w:p>
      <w:pPr>
        <w:pStyle w:val="ListParagraph"/>
        <w:numPr>
          <w:ilvl w:val="0"/>
          <w:numId w:val="2"/>
        </w:numPr>
        <w:spacing w:after="60"/>
      </w:pPr>
      <w:r>
        <w:rPr>
          <w:sz w:val="22"/>
          <w:szCs w:val="22"/>
        </w:rPr>
        <w:t xml:space="preserve">Reusable components across agents/services</w:t>
      </w:r>
    </w:p>
    <w:p>
      <w:pPr>
        <w:pStyle w:val="ListParagraph"/>
        <w:numPr>
          <w:ilvl w:val="0"/>
          <w:numId w:val="2"/>
        </w:numPr>
        <w:spacing w:after="60"/>
      </w:pPr>
      <w:r>
        <w:rPr>
          <w:sz w:val="22"/>
          <w:szCs w:val="22"/>
        </w:rPr>
        <w:t xml:space="preserve">Maintainable, layered folder structure</w:t>
      </w:r>
    </w:p>
    <w:p>
      <w:pPr>
        <w:pStyle w:val="Heading2"/>
        <w:spacing w:after="120" w:before="260"/>
      </w:pPr>
      <w:r>
        <w:rPr>
          <w:b/>
          <w:bCs/>
          <w:color w:val="2E5395"/>
          <w:sz w:val="24"/>
          <w:szCs w:val="24"/>
        </w:rPr>
        <w:t xml:space="preserve">8.2 Development Process</w:t>
      </w:r>
    </w:p>
    <w:p>
      <w:pPr>
        <w:pStyle w:val="ListParagraph"/>
        <w:numPr>
          <w:ilvl w:val="0"/>
          <w:numId w:val="2"/>
        </w:numPr>
        <w:spacing w:after="60"/>
      </w:pPr>
      <w:r>
        <w:rPr>
          <w:sz w:val="22"/>
          <w:szCs w:val="22"/>
        </w:rPr>
        <w:t xml:space="preserve">Build module by module; each module is production-ready before the next begins.</w:t>
      </w:r>
    </w:p>
    <w:p>
      <w:pPr>
        <w:pStyle w:val="ListParagraph"/>
        <w:numPr>
          <w:ilvl w:val="0"/>
          <w:numId w:val="2"/>
        </w:numPr>
        <w:spacing w:after="60"/>
      </w:pPr>
      <w:r>
        <w:rPr>
          <w:sz w:val="22"/>
          <w:szCs w:val="22"/>
        </w:rPr>
        <w:t xml:space="preserve">Each new module integrates with previously completed modules without breaking existing functionality.</w:t>
      </w:r>
    </w:p>
    <w:p>
      <w:pPr>
        <w:pStyle w:val="ListParagraph"/>
        <w:numPr>
          <w:ilvl w:val="0"/>
          <w:numId w:val="2"/>
        </w:numPr>
        <w:spacing w:after="60"/>
      </w:pPr>
      <w:r>
        <w:rPr>
          <w:sz w:val="22"/>
          <w:szCs w:val="22"/>
        </w:rPr>
        <w:t xml:space="preserve">Architecture changes require explicit sign-off before implementation.</w:t>
      </w:r>
    </w:p>
    <w:p>
      <w:pPr>
        <w:pStyle w:val="Heading1"/>
        <w:spacing w:after="160" w:before="360"/>
      </w:pPr>
      <w:r>
        <w:rPr>
          <w:b/>
          <w:bCs/>
          <w:color w:val="1F3864"/>
          <w:sz w:val="30"/>
          <w:szCs w:val="30"/>
        </w:rPr>
        <w:t xml:space="preserve">9. Final Goal</w:t>
      </w:r>
    </w:p>
    <w:p>
      <w:pPr>
        <w:spacing w:after="120"/>
      </w:pPr>
      <w:r>
        <w:rPr>
          <w:sz w:val="22"/>
          <w:szCs w:val="22"/>
        </w:rPr>
        <w:t xml:space="preserve">The finished platform should resemble a real enterprise AI Governance Platform suitable for banking, healthcare, government, and cybersecurity contexts — modular, scalable, reusable, production-ready, and straightforward to explain in an interview or hackathon setting.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Threshold AI Governance Platform — Architecture &amp;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2026-08-01T16:17:07.444Z</dcterms:created>
  <dcterms:modified xsi:type="dcterms:W3CDTF">2026-08-01T16:17:07.458Z</dcterms:modified>
</cp:coreProperties>
</file>

<file path=docProps/custom.xml><?xml version="1.0" encoding="utf-8"?>
<Properties xmlns="http://schemas.openxmlformats.org/officeDocument/2006/custom-properties" xmlns:vt="http://schemas.openxmlformats.org/officeDocument/2006/docPropsVTypes"/>
</file>