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A60"/>
          <w:sz w:val="36"/>
        </w:rPr>
        <w:t>THRESHOLD ENTERPRISE SYSTEMS</w:t>
        <w:br/>
        <w:t>Operational Data Retention Guidelines</w:t>
      </w:r>
    </w:p>
    <w:p/>
    <w:tbl>
      <w:tblPr>
        <w:tblW w:type="auto" w:w="0"/>
        <w:tblLayout w:type="fixed"/>
        <w:tblLook w:firstColumn="1" w:firstRow="1" w:lastColumn="0" w:lastRow="0" w:noHBand="0" w:noVBand="1" w:val="04A0"/>
      </w:tblPr>
      <w:tblGrid>
        <w:gridCol w:w="3168"/>
        <w:gridCol w:w="6192"/>
      </w:tblGrid>
      <w:tr>
        <w:tc>
          <w:tcPr>
            <w:tcW w:type="dxa" w:w="4680"/>
            <w:shd w:fill="F0F4F8"/>
          </w:tcPr>
          <w:p>
            <w:r>
              <w:rPr>
                <w:rFonts w:ascii="Arial" w:hAnsi="Arial"/>
                <w:b/>
                <w:sz w:val="19"/>
              </w:rPr>
              <w:t>Document Id</w:t>
            </w:r>
          </w:p>
        </w:tc>
        <w:tc>
          <w:tcPr>
            <w:tcW w:type="dxa" w:w="4680"/>
          </w:tcPr>
          <w:p>
            <w:r>
              <w:rPr>
                <w:rFonts w:ascii="Arial" w:hAnsi="Arial"/>
                <w:sz w:val="19"/>
              </w:rPr>
              <w:t>OPS-007</w:t>
            </w:r>
          </w:p>
        </w:tc>
      </w:tr>
      <w:tr>
        <w:tc>
          <w:tcPr>
            <w:tcW w:type="dxa" w:w="4680"/>
            <w:shd w:fill="F0F4F8"/>
          </w:tcPr>
          <w:p>
            <w:r>
              <w:rPr>
                <w:rFonts w:ascii="Arial" w:hAnsi="Arial"/>
                <w:b/>
                <w:sz w:val="19"/>
              </w:rPr>
              <w:t>Title</w:t>
            </w:r>
          </w:p>
        </w:tc>
        <w:tc>
          <w:tcPr>
            <w:tcW w:type="dxa" w:w="4680"/>
          </w:tcPr>
          <w:p>
            <w:r>
              <w:rPr>
                <w:rFonts w:ascii="Arial" w:hAnsi="Arial"/>
                <w:sz w:val="19"/>
              </w:rPr>
              <w:t>Operational Data Retention Guidelines</w:t>
            </w:r>
          </w:p>
        </w:tc>
      </w:tr>
      <w:tr>
        <w:tc>
          <w:tcPr>
            <w:tcW w:type="dxa" w:w="4680"/>
            <w:shd w:fill="F0F4F8"/>
          </w:tcPr>
          <w:p>
            <w:r>
              <w:rPr>
                <w:rFonts w:ascii="Arial" w:hAnsi="Arial"/>
                <w:b/>
                <w:sz w:val="19"/>
              </w:rPr>
              <w:t>Department</w:t>
            </w:r>
          </w:p>
        </w:tc>
        <w:tc>
          <w:tcPr>
            <w:tcW w:type="dxa" w:w="4680"/>
          </w:tcPr>
          <w:p>
            <w:r>
              <w:rPr>
                <w:rFonts w:ascii="Arial" w:hAnsi="Arial"/>
                <w:sz w:val="19"/>
              </w:rPr>
              <w:t>Operations</w:t>
            </w:r>
          </w:p>
        </w:tc>
      </w:tr>
      <w:tr>
        <w:tc>
          <w:tcPr>
            <w:tcW w:type="dxa" w:w="4680"/>
            <w:shd w:fill="F0F4F8"/>
          </w:tcPr>
          <w:p>
            <w:r>
              <w:rPr>
                <w:rFonts w:ascii="Arial" w:hAnsi="Arial"/>
                <w:b/>
                <w:sz w:val="19"/>
              </w:rPr>
              <w:t>Classification</w:t>
            </w:r>
          </w:p>
        </w:tc>
        <w:tc>
          <w:tcPr>
            <w:tcW w:type="dxa" w:w="4680"/>
          </w:tcPr>
          <w:p>
            <w:r>
              <w:rPr>
                <w:rFonts w:ascii="Arial" w:hAnsi="Arial"/>
                <w:sz w:val="19"/>
              </w:rPr>
              <w:t>CONFIDENTIAL</w:t>
            </w:r>
          </w:p>
        </w:tc>
      </w:tr>
      <w:tr>
        <w:tc>
          <w:tcPr>
            <w:tcW w:type="dxa" w:w="4680"/>
            <w:shd w:fill="F0F4F8"/>
          </w:tcPr>
          <w:p>
            <w:r>
              <w:rPr>
                <w:rFonts w:ascii="Arial" w:hAnsi="Arial"/>
                <w:b/>
                <w:sz w:val="19"/>
              </w:rPr>
              <w:t>Version</w:t>
            </w:r>
          </w:p>
        </w:tc>
        <w:tc>
          <w:tcPr>
            <w:tcW w:type="dxa" w:w="4680"/>
          </w:tcPr>
          <w:p>
            <w:r>
              <w:rPr>
                <w:rFonts w:ascii="Arial" w:hAnsi="Arial"/>
                <w:sz w:val="19"/>
              </w:rPr>
              <w:t>1.0</w:t>
            </w:r>
          </w:p>
        </w:tc>
      </w:tr>
      <w:tr>
        <w:tc>
          <w:tcPr>
            <w:tcW w:type="dxa" w:w="4680"/>
            <w:shd w:fill="F0F4F8"/>
          </w:tcPr>
          <w:p>
            <w:r>
              <w:rPr>
                <w:rFonts w:ascii="Arial" w:hAnsi="Arial"/>
                <w:b/>
                <w:sz w:val="19"/>
              </w:rPr>
              <w:t>Status</w:t>
            </w:r>
          </w:p>
        </w:tc>
        <w:tc>
          <w:tcPr>
            <w:tcW w:type="dxa" w:w="4680"/>
          </w:tcPr>
          <w:p>
            <w:r>
              <w:rPr>
                <w:rFonts w:ascii="Arial" w:hAnsi="Arial"/>
                <w:sz w:val="19"/>
              </w:rPr>
              <w:t>ACTIVE</w:t>
            </w:r>
          </w:p>
        </w:tc>
      </w:tr>
      <w:tr>
        <w:tc>
          <w:tcPr>
            <w:tcW w:type="dxa" w:w="4680"/>
            <w:shd w:fill="F0F4F8"/>
          </w:tcPr>
          <w:p>
            <w:r>
              <w:rPr>
                <w:rFonts w:ascii="Arial" w:hAnsi="Arial"/>
                <w:b/>
                <w:sz w:val="19"/>
              </w:rPr>
              <w:t>Effective Date</w:t>
            </w:r>
          </w:p>
        </w:tc>
        <w:tc>
          <w:tcPr>
            <w:tcW w:type="dxa" w:w="4680"/>
          </w:tcPr>
          <w:p>
            <w:r>
              <w:rPr>
                <w:rFonts w:ascii="Arial" w:hAnsi="Arial"/>
                <w:sz w:val="19"/>
              </w:rPr>
              <w:t>2026-01-15</w:t>
            </w:r>
          </w:p>
        </w:tc>
      </w:tr>
      <w:tr>
        <w:tc>
          <w:tcPr>
            <w:tcW w:type="dxa" w:w="4680"/>
            <w:shd w:fill="F0F4F8"/>
          </w:tcPr>
          <w:p>
            <w:r>
              <w:rPr>
                <w:rFonts w:ascii="Arial" w:hAnsi="Arial"/>
                <w:b/>
                <w:sz w:val="19"/>
              </w:rPr>
              <w:t>Document Type</w:t>
            </w:r>
          </w:p>
        </w:tc>
        <w:tc>
          <w:tcPr>
            <w:tcW w:type="dxa" w:w="4680"/>
          </w:tcPr>
          <w:p>
            <w:r>
              <w:rPr>
                <w:rFonts w:ascii="Arial" w:hAnsi="Arial"/>
                <w:sz w:val="19"/>
              </w:rPr>
              <w:t>GUIDELINE</w:t>
            </w:r>
          </w:p>
        </w:tc>
      </w:tr>
      <w:tr>
        <w:tc>
          <w:tcPr>
            <w:tcW w:type="dxa" w:w="4680"/>
            <w:shd w:fill="F0F4F8"/>
          </w:tcPr>
          <w:p>
            <w:r>
              <w:rPr>
                <w:rFonts w:ascii="Arial" w:hAnsi="Arial"/>
                <w:b/>
                <w:sz w:val="19"/>
              </w:rPr>
              <w:t>Allowed Roles</w:t>
            </w:r>
          </w:p>
        </w:tc>
        <w:tc>
          <w:tcPr>
            <w:tcW w:type="dxa" w:w="4680"/>
          </w:tcPr>
          <w:p>
            <w:r>
              <w:rPr>
                <w:rFonts w:ascii="Arial" w:hAnsi="Arial"/>
                <w:sz w:val="19"/>
              </w:rPr>
              <w:t>MANAGER, ENGINEER, AI_ENGINEER, SECURITY_ENGINEER, OPERATIONS_MANAGER, ADMIN</w:t>
            </w:r>
          </w:p>
        </w:tc>
      </w:tr>
    </w:tbl>
    <w:p/>
    <w:p>
      <w:pPr>
        <w:pStyle w:val="Heading1"/>
        <w:spacing w:before="240" w:after="80"/>
      </w:pPr>
      <w:r>
        <w:rPr>
          <w:rFonts w:ascii="Arial" w:hAnsi="Arial"/>
          <w:color w:val="1F3A60"/>
          <w:sz w:val="26"/>
        </w:rPr>
        <w:t>1. CONFIDENTIAL CLASSIFICATION AND PURPOSE</w:t>
      </w:r>
    </w:p>
    <w:p>
      <w:pPr>
        <w:spacing w:line="276" w:lineRule="auto" w:after="120"/>
      </w:pPr>
      <w:r>
        <w:rPr>
          <w:rFonts w:ascii="Arial" w:hAnsi="Arial"/>
          <w:sz w:val="20"/>
        </w:rPr>
        <w:t>*** CONFIDENTIAL GUIDELINE - RESTRICTED TO OPERATIONAL, SECURITY, AND ENGINEERING ROLES ***</w:t>
      </w:r>
    </w:p>
    <w:p>
      <w:pPr>
        <w:spacing w:line="276" w:lineRule="auto" w:after="120"/>
      </w:pPr>
      <w:r>
        <w:rPr>
          <w:rFonts w:ascii="Arial" w:hAnsi="Arial"/>
          <w:sz w:val="20"/>
        </w:rPr>
        <w:t>This document establishes the proprietary data retention schedules, automated archiving mechanisms, cryptographic sanitization standards, and storage tiering policies governing all operational logs, telemetry time-series, service desk records, change histories, and incident documentation across Threshold Enterprise Systems. It is classified as CONFIDENTIAL. Access is restricted to authorized operational, technical, and managerial personnel (MANAGER, ENGINEER, AI_ENGINEER, SECURITY_ENGINEER, OPERATIONS_MANAGER, ADMIN). Workforce members holding the general EMPLOYEE role are not authorized to retrieve this document within the knowledge base.</w:t>
      </w:r>
    </w:p>
    <w:p>
      <w:pPr>
        <w:spacing w:line="276" w:lineRule="auto" w:after="120"/>
      </w:pPr>
      <w:r>
        <w:rPr>
          <w:rFonts w:ascii="Arial" w:hAnsi="Arial"/>
          <w:sz w:val="20"/>
        </w:rPr>
        <w:t>The purpose of these Operational Data Retention Guidelines is to guarantee compliance with international regulatory frameworks (GDPR, SOC 2 Type II, ISO 27001, HIPAA), enforce strict data minimization principles, preserve essential diagnostic and forensic audit trails, control cloud storage expenditures, and ensure the defensible, immutable destruction of expired operational artifacts.</w:t>
      </w:r>
    </w:p>
    <w:p>
      <w:pPr>
        <w:spacing w:line="276" w:lineRule="auto" w:after="120"/>
      </w:pPr>
      <w:r>
        <w:rPr>
          <w:rFonts w:ascii="Arial" w:hAnsi="Arial"/>
          <w:sz w:val="20"/>
        </w:rPr>
        <w:t>In accordance with corporate governance mandates, this guideline omits live cloud storage bucket names, encryption key passphrases, server IP addresses, or internal database access credentials, focusing entirely on lifecycle governance, retention schedules, and compliance enforcement.</w:t>
      </w:r>
    </w:p>
    <w:p>
      <w:pPr>
        <w:spacing w:line="276" w:lineRule="auto" w:after="120"/>
      </w:pPr>
      <w:r>
        <w:rPr>
          <w:rFonts w:ascii="Arial" w:hAnsi="Arial"/>
          <w:sz w:val="20"/>
        </w:rPr>
        <w:t>Proper operational data lifecycle management preserves legal defensibility, minimizes data breach exposure surfaces, and prevents uncontrolled cloud infrastructure cost growth.</w:t>
      </w:r>
    </w:p>
    <w:p>
      <w:pPr>
        <w:pStyle w:val="Heading1"/>
        <w:spacing w:before="240" w:after="80"/>
      </w:pPr>
      <w:r>
        <w:rPr>
          <w:rFonts w:ascii="Arial" w:hAnsi="Arial"/>
          <w:color w:val="1F3A60"/>
          <w:sz w:val="26"/>
        </w:rPr>
        <w:t>2. Scope and Operational Data Taxonomy Governed</w:t>
      </w:r>
    </w:p>
    <w:p>
      <w:pPr>
        <w:spacing w:line="276" w:lineRule="auto" w:after="120"/>
      </w:pPr>
      <w:r>
        <w:rPr>
          <w:rFonts w:ascii="Arial" w:hAnsi="Arial"/>
          <w:sz w:val="20"/>
        </w:rPr>
        <w:t>These guidelines govern all non-customer transactional operational metadata generated across our infrastructure in India, the United States, the United Kingdom, and Singapore:</w:t>
      </w:r>
    </w:p>
    <w:p>
      <w:pPr>
        <w:spacing w:line="276" w:lineRule="auto" w:after="120"/>
      </w:pPr>
      <w:r>
        <w:rPr>
          <w:rFonts w:ascii="Arial" w:hAnsi="Arial"/>
          <w:sz w:val="20"/>
        </w:rPr>
        <w:t>1. Application and Ingress Logs: Nginx/Envoy web access logs, API gateway request records, microservice standard out/err streams, and application debug traces.</w:t>
      </w:r>
    </w:p>
    <w:p>
      <w:pPr>
        <w:spacing w:line="276" w:lineRule="auto" w:after="120"/>
      </w:pPr>
      <w:r>
        <w:rPr>
          <w:rFonts w:ascii="Arial" w:hAnsi="Arial"/>
          <w:sz w:val="20"/>
        </w:rPr>
        <w:t>2. System and Security Audit Logs: Linux syslog streams, SSH bastion session recordings, cloud IAM audit events (AWS CloudTrail), and database connection audits (ENG-005).</w:t>
      </w:r>
    </w:p>
    <w:p>
      <w:pPr>
        <w:spacing w:line="276" w:lineRule="auto" w:after="120"/>
      </w:pPr>
      <w:r>
        <w:rPr>
          <w:rFonts w:ascii="Arial" w:hAnsi="Arial"/>
          <w:sz w:val="20"/>
        </w:rPr>
        <w:t>3. Operational Metrics and Telemetry: Prometheus time-series metrics, OpenTelemetry distributed traces, and Grafana dashboard snapshots (OPS-008).</w:t>
      </w:r>
    </w:p>
    <w:p>
      <w:pPr>
        <w:spacing w:line="276" w:lineRule="auto" w:after="120"/>
      </w:pPr>
      <w:r>
        <w:rPr>
          <w:rFonts w:ascii="Arial" w:hAnsi="Arial"/>
          <w:sz w:val="20"/>
        </w:rPr>
        <w:t>4. IT Service Management (ITSM) Records: Service desk tickets, incident war room transcripts, post-incident reviews (ENG-006 / OPS-006), and Request for Change (RFC) audit trails (OPS-002).</w:t>
      </w:r>
    </w:p>
    <w:p>
      <w:pPr>
        <w:spacing w:line="276" w:lineRule="auto" w:after="120"/>
      </w:pPr>
      <w:r>
        <w:rPr>
          <w:rFonts w:ascii="Arial" w:hAnsi="Arial"/>
          <w:sz w:val="20"/>
        </w:rPr>
        <w:t>5. AI Operational Logs: Model inference latency telemetry, prompt security filter inspection logs (AIG-007), and drift evaluation records (AIG-008).</w:t>
      </w:r>
    </w:p>
    <w:p>
      <w:pPr>
        <w:pStyle w:val="Heading1"/>
        <w:spacing w:before="240" w:after="80"/>
      </w:pPr>
      <w:r>
        <w:rPr>
          <w:rFonts w:ascii="Arial" w:hAnsi="Arial"/>
          <w:color w:val="1F3A60"/>
          <w:sz w:val="26"/>
        </w:rPr>
        <w:t>3. Foundational Data Retention Principles</w:t>
      </w:r>
    </w:p>
    <w:p>
      <w:pPr>
        <w:spacing w:line="276" w:lineRule="auto" w:after="120"/>
      </w:pPr>
      <w:r>
        <w:rPr>
          <w:rFonts w:ascii="Arial" w:hAnsi="Arial"/>
          <w:sz w:val="20"/>
        </w:rPr>
        <w:t>All operational data management must strictly embody five core governance principles:</w:t>
      </w:r>
    </w:p>
    <w:p>
      <w:pPr>
        <w:spacing w:line="276" w:lineRule="auto" w:after="120"/>
      </w:pPr>
      <w:r>
        <w:rPr>
          <w:rFonts w:ascii="Arial" w:hAnsi="Arial"/>
          <w:sz w:val="20"/>
        </w:rPr>
        <w:t>Principle 1 - Data Minimization: Operational logging must capture only the minimum necessary diagnostic context. Committing raw customer PII, unmasked passwords, or full credit card numbers into application logs is strictly prohibited under SEC-005.</w:t>
      </w:r>
    </w:p>
    <w:p>
      <w:pPr>
        <w:spacing w:line="276" w:lineRule="auto" w:after="120"/>
      </w:pPr>
      <w:r>
        <w:rPr>
          <w:rFonts w:ascii="Arial" w:hAnsi="Arial"/>
          <w:sz w:val="20"/>
        </w:rPr>
        <w:t>Principle 2 - Purpose Limitation: Operational logs and telemetry are collected solely for system performance monitoring, security diagnostics, capacity planning, and regulatory compliance.</w:t>
      </w:r>
    </w:p>
    <w:p>
      <w:pPr>
        <w:spacing w:line="276" w:lineRule="auto" w:after="120"/>
      </w:pPr>
      <w:r>
        <w:rPr>
          <w:rFonts w:ascii="Arial" w:hAnsi="Arial"/>
          <w:sz w:val="20"/>
        </w:rPr>
        <w:t>Principle 3 - Cryptographic Security and Immutability: All retained logs must be encrypted in transit (TLS 1.3) and at rest (AES-256 with KMS-managed customer keys). Audit logs must be stored in Write-Once-Read-Many (WORM) storage enclaves.</w:t>
      </w:r>
    </w:p>
    <w:p>
      <w:pPr>
        <w:spacing w:line="276" w:lineRule="auto" w:after="120"/>
      </w:pPr>
      <w:r>
        <w:rPr>
          <w:rFonts w:ascii="Arial" w:hAnsi="Arial"/>
          <w:sz w:val="20"/>
        </w:rPr>
        <w:t>Principle 4 - Automated Storage Lifecycle Tiering: Operational data must transition automatically across Hot, Warm, Cold, and Deep Archive storage tiers to balance cost and query performance.</w:t>
      </w:r>
    </w:p>
    <w:p>
      <w:pPr>
        <w:spacing w:line="276" w:lineRule="auto" w:after="120"/>
      </w:pPr>
      <w:r>
        <w:rPr>
          <w:rFonts w:ascii="Arial" w:hAnsi="Arial"/>
          <w:sz w:val="20"/>
        </w:rPr>
        <w:t>Principle 5 - Defensible Cryptographic Purging: When operational data reaches the end of its mandatory retention lifecycle, it must be permanently purged using automated cryptographic erasure.</w:t>
      </w:r>
    </w:p>
    <w:p>
      <w:pPr>
        <w:pStyle w:val="Heading1"/>
        <w:spacing w:before="240" w:after="80"/>
      </w:pPr>
      <w:r>
        <w:rPr>
          <w:rFonts w:ascii="Arial" w:hAnsi="Arial"/>
          <w:color w:val="1F3A60"/>
          <w:sz w:val="26"/>
        </w:rPr>
        <w:t>4. Standard Enterprise Operational Retention Schedules</w:t>
      </w:r>
    </w:p>
    <w:p>
      <w:pPr>
        <w:spacing w:line="276" w:lineRule="auto" w:after="120"/>
      </w:pPr>
      <w:r>
        <w:rPr>
          <w:rFonts w:ascii="Arial" w:hAnsi="Arial"/>
          <w:sz w:val="20"/>
        </w:rPr>
        <w:t>Operational records must adhere to standardized lifecycle retention durations:</w:t>
      </w:r>
    </w:p>
    <w:p>
      <w:pPr>
        <w:spacing w:line="276" w:lineRule="auto" w:after="120"/>
      </w:pPr>
      <w:r>
        <w:rPr>
          <w:rFonts w:ascii="Arial" w:hAnsi="Arial"/>
          <w:sz w:val="20"/>
        </w:rPr>
        <w:t>- Raw Application Debug Logs: Retained in Hot Storage (Elasticsearch/OpenSearch) for fourteen (14) days; automatically purged unless tagged for an active incident investigation.</w:t>
      </w:r>
    </w:p>
    <w:p>
      <w:pPr>
        <w:spacing w:line="276" w:lineRule="auto" w:after="120"/>
      </w:pPr>
      <w:r>
        <w:rPr>
          <w:rFonts w:ascii="Arial" w:hAnsi="Arial"/>
          <w:sz w:val="20"/>
        </w:rPr>
        <w:t>- Production Ingress and Access Logs: Retained in Hot Storage for thirty (30) days; transitioned to Warm Storage (compressed S3/GCS) for sixty (60) days; total retention: ninety (90) days.</w:t>
      </w:r>
    </w:p>
    <w:p>
      <w:pPr>
        <w:spacing w:line="276" w:lineRule="auto" w:after="120"/>
      </w:pPr>
      <w:r>
        <w:rPr>
          <w:rFonts w:ascii="Arial" w:hAnsi="Arial"/>
          <w:sz w:val="20"/>
        </w:rPr>
        <w:t>- Distributed Trace Spans: OpenTelemetry request traces and span telemetry retained in Hot memory indexers for seven (7) days, with high-latency or error-tagged traces sampled and preserved in Warm Storage for thirty (30) days.</w:t>
      </w:r>
    </w:p>
    <w:p>
      <w:pPr>
        <w:spacing w:line="276" w:lineRule="auto" w:after="120"/>
      </w:pPr>
      <w:r>
        <w:rPr>
          <w:rFonts w:ascii="Arial" w:hAnsi="Arial"/>
          <w:sz w:val="20"/>
        </w:rPr>
        <w:t>- Database Slow Query and Audit Logs: Database execution queries exceeding the statement timeout and privileged connection logs (ENG-005) retained in Warm Storage for sixty (60) days.</w:t>
      </w:r>
    </w:p>
    <w:p>
      <w:pPr>
        <w:spacing w:line="276" w:lineRule="auto" w:after="120"/>
      </w:pPr>
      <w:r>
        <w:rPr>
          <w:rFonts w:ascii="Arial" w:hAnsi="Arial"/>
          <w:sz w:val="20"/>
        </w:rPr>
        <w:t>- Infrastructure Metrics and Telemetry: Full-resolution metrics (10s intervals) retained for thirty (30) days; downsampled metrics (5m intervals) retained in Warm Storage for one (1) year; automatically purged thereafter.</w:t>
      </w:r>
    </w:p>
    <w:p>
      <w:pPr>
        <w:spacing w:line="276" w:lineRule="auto" w:after="120"/>
      </w:pPr>
      <w:r>
        <w:rPr>
          <w:rFonts w:ascii="Arial" w:hAnsi="Arial"/>
          <w:sz w:val="20"/>
        </w:rPr>
        <w:t>- Security and Authentication Audit Logs: Retained in tamper-evident Cold Storage for three hundred sixty-five (365) days (1 year) as required by SOC 2 and ISO 27001.</w:t>
      </w:r>
    </w:p>
    <w:p>
      <w:pPr>
        <w:spacing w:line="276" w:lineRule="auto" w:after="120"/>
      </w:pPr>
      <w:r>
        <w:rPr>
          <w:rFonts w:ascii="Arial" w:hAnsi="Arial"/>
          <w:sz w:val="20"/>
        </w:rPr>
        <w:t>- Change Management Records (RFCs): Retained in corporate change databases for three (3) years to support historical architecture audits and regulatory reviews.</w:t>
      </w:r>
    </w:p>
    <w:p>
      <w:pPr>
        <w:spacing w:line="276" w:lineRule="auto" w:after="120"/>
      </w:pPr>
      <w:r>
        <w:rPr>
          <w:rFonts w:ascii="Arial" w:hAnsi="Arial"/>
          <w:sz w:val="20"/>
        </w:rPr>
        <w:t>- Incident Post-Mortem and RCA Reports: Retained permanently in the corporate knowledge base to preserve institutional memory and prevent regression failures.</w:t>
      </w:r>
    </w:p>
    <w:p>
      <w:pPr>
        <w:spacing w:line="276" w:lineRule="auto" w:after="120"/>
      </w:pPr>
      <w:r>
        <w:rPr>
          <w:rFonts w:ascii="Arial" w:hAnsi="Arial"/>
          <w:sz w:val="20"/>
        </w:rPr>
        <w:t>- AI Inference and Prompt Guardrail Logs: Retained in compliance with AIG-006 for ninety (90) days, after which raw prompt strings are anonymized and summarized.</w:t>
      </w:r>
    </w:p>
    <w:p>
      <w:pPr>
        <w:pStyle w:val="Heading1"/>
        <w:spacing w:before="240" w:after="80"/>
      </w:pPr>
      <w:r>
        <w:rPr>
          <w:rFonts w:ascii="Arial" w:hAnsi="Arial"/>
          <w:color w:val="1F3A60"/>
          <w:sz w:val="26"/>
        </w:rPr>
        <w:t>5. Sensitive Data Masking and Ingestion Sanitization (SEC-005 Integration)</w:t>
      </w:r>
    </w:p>
    <w:p>
      <w:pPr>
        <w:spacing w:line="276" w:lineRule="auto" w:after="120"/>
      </w:pPr>
      <w:r>
        <w:rPr>
          <w:rFonts w:ascii="Arial" w:hAnsi="Arial"/>
          <w:sz w:val="20"/>
        </w:rPr>
        <w:t>To prevent accidental data leakage into log aggregation clusters, automated sanitization proxies must filter all log streams at the ingestion boundary:</w:t>
      </w:r>
    </w:p>
    <w:p>
      <w:pPr>
        <w:spacing w:line="276" w:lineRule="auto" w:after="120"/>
      </w:pPr>
      <w:r>
        <w:rPr>
          <w:rFonts w:ascii="Arial" w:hAnsi="Arial"/>
          <w:sz w:val="20"/>
        </w:rPr>
        <w:t>- Automated PII Masking: Ingestion daemons (Fluentbit / Logstash) parse log lines against regular expressions detecting email addresses, Social Security Numbers, phone numbers, and payment tokens, replacing sensitive tokens with [REDACTED_PII].</w:t>
      </w:r>
    </w:p>
    <w:p>
      <w:pPr>
        <w:spacing w:line="276" w:lineRule="auto" w:after="120"/>
      </w:pPr>
      <w:r>
        <w:rPr>
          <w:rFonts w:ascii="Arial" w:hAnsi="Arial"/>
          <w:sz w:val="20"/>
        </w:rPr>
        <w:t>- Header and Token Stripping: HTTP Authorization headers, Bearer tokens, API keys, and session cookies must be stripped automatically prior to indexation in central log clusters.</w:t>
      </w:r>
    </w:p>
    <w:p>
      <w:pPr>
        <w:spacing w:line="276" w:lineRule="auto" w:after="120"/>
      </w:pPr>
      <w:r>
        <w:rPr>
          <w:rFonts w:ascii="Arial" w:hAnsi="Arial"/>
          <w:sz w:val="20"/>
        </w:rPr>
        <w:t>- Developer Responsibility: Software engineers must ensure that backend code (ENG-001) never logs sensitive payload bodies or unencrypted database query parameters.</w:t>
      </w:r>
    </w:p>
    <w:p>
      <w:pPr>
        <w:spacing w:line="276" w:lineRule="auto" w:after="120"/>
      </w:pPr>
      <w:r>
        <w:rPr>
          <w:rFonts w:ascii="Arial" w:hAnsi="Arial"/>
          <w:sz w:val="20"/>
        </w:rPr>
        <w:t>- Synthetic Data Verification: QA test pipelines regularly inject synthetic PII patterns into staging log streams to verify that masking rules successfully redact sensitive fields before production ingestion.</w:t>
      </w:r>
    </w:p>
    <w:p>
      <w:pPr>
        <w:pStyle w:val="Heading1"/>
        <w:spacing w:before="240" w:after="80"/>
      </w:pPr>
      <w:r>
        <w:rPr>
          <w:rFonts w:ascii="Arial" w:hAnsi="Arial"/>
          <w:color w:val="1F3A60"/>
          <w:sz w:val="26"/>
        </w:rPr>
        <w:t>6. Storage Tiering, Compression, and Archival Workflows</w:t>
      </w:r>
    </w:p>
    <w:p>
      <w:pPr>
        <w:spacing w:line="276" w:lineRule="auto" w:after="120"/>
      </w:pPr>
      <w:r>
        <w:rPr>
          <w:rFonts w:ascii="Arial" w:hAnsi="Arial"/>
          <w:sz w:val="20"/>
        </w:rPr>
        <w:t>Operational storage architectures leverage automated lifecycle rules to optimize cost without compromising compliance:</w:t>
      </w:r>
    </w:p>
    <w:p>
      <w:pPr>
        <w:spacing w:line="276" w:lineRule="auto" w:after="120"/>
      </w:pPr>
      <w:r>
        <w:rPr>
          <w:rFonts w:ascii="Arial" w:hAnsi="Arial"/>
          <w:sz w:val="20"/>
        </w:rPr>
        <w:t>- Hot Tier (0 - 30 Days): High-performance NVMe SSD storage optimized for real-time indexing, full-text searching, and immediate dashboard visualization.</w:t>
      </w:r>
    </w:p>
    <w:p>
      <w:pPr>
        <w:spacing w:line="276" w:lineRule="auto" w:after="120"/>
      </w:pPr>
      <w:r>
        <w:rPr>
          <w:rFonts w:ascii="Arial" w:hAnsi="Arial"/>
          <w:sz w:val="20"/>
        </w:rPr>
        <w:t>- Warm Tier (31 - 90 Days): Highly available object storage supporting fast query retrieval for active diagnostic triage and weekly reporting.</w:t>
      </w:r>
    </w:p>
    <w:p>
      <w:pPr>
        <w:spacing w:line="276" w:lineRule="auto" w:after="120"/>
      </w:pPr>
      <w:r>
        <w:rPr>
          <w:rFonts w:ascii="Arial" w:hAnsi="Arial"/>
          <w:sz w:val="20"/>
        </w:rPr>
        <w:t>- Cold Tier (91 - 365 Days): Compressed object storage (Gzip / Zstandard) designed for historical compliance queries and retrospective security audits.</w:t>
      </w:r>
    </w:p>
    <w:p>
      <w:pPr>
        <w:spacing w:line="276" w:lineRule="auto" w:after="120"/>
      </w:pPr>
      <w:r>
        <w:rPr>
          <w:rFonts w:ascii="Arial" w:hAnsi="Arial"/>
          <w:sz w:val="20"/>
        </w:rPr>
        <w:t>- Deep Glacier Archive (&gt; 365 Days): Offline, immutable tape or cold cloud archive enclaves utilized strictly for statutory records subject to legal hold.</w:t>
      </w:r>
    </w:p>
    <w:p>
      <w:pPr>
        <w:spacing w:line="276" w:lineRule="auto" w:after="120"/>
      </w:pPr>
      <w:r>
        <w:rPr>
          <w:rFonts w:ascii="Arial" w:hAnsi="Arial"/>
          <w:sz w:val="20"/>
        </w:rPr>
        <w:t>- Automated Cross-Region Replication: Cold and Deep Archive partitions replicate asynchronously to secondary geographical regions to satisfy disaster recovery requirements (OPS-004).</w:t>
      </w:r>
    </w:p>
    <w:p>
      <w:pPr>
        <w:pStyle w:val="Heading1"/>
        <w:spacing w:before="240" w:after="80"/>
      </w:pPr>
      <w:r>
        <w:rPr>
          <w:rFonts w:ascii="Arial" w:hAnsi="Arial"/>
          <w:color w:val="1F3A60"/>
          <w:sz w:val="26"/>
        </w:rPr>
        <w:t>7. Secure Destruction and Cryptographic Erasure Protocols</w:t>
      </w:r>
    </w:p>
    <w:p>
      <w:pPr>
        <w:spacing w:line="276" w:lineRule="auto" w:after="120"/>
      </w:pPr>
      <w:r>
        <w:rPr>
          <w:rFonts w:ascii="Arial" w:hAnsi="Arial"/>
          <w:sz w:val="20"/>
        </w:rPr>
        <w:t>Upon expiration of mandatory retention periods, operational data must be defensibly destroyed:</w:t>
      </w:r>
    </w:p>
    <w:p>
      <w:pPr>
        <w:spacing w:line="276" w:lineRule="auto" w:after="120"/>
      </w:pPr>
      <w:r>
        <w:rPr>
          <w:rFonts w:ascii="Arial" w:hAnsi="Arial"/>
          <w:sz w:val="20"/>
        </w:rPr>
        <w:t>- Automated Lifecycle Deletion: Cloud storage bucket lifecycle policies execute automated daily deletion jobs targeting expired object prefixes.</w:t>
      </w:r>
    </w:p>
    <w:p>
      <w:pPr>
        <w:spacing w:line="276" w:lineRule="auto" w:after="120"/>
      </w:pPr>
      <w:r>
        <w:rPr>
          <w:rFonts w:ascii="Arial" w:hAnsi="Arial"/>
          <w:sz w:val="20"/>
        </w:rPr>
        <w:t>- Cryptographic Shredding: For sensitive operational partitions, master decryption keys held in KMS are rotated and destroyed, rendering historical ciphertext mathematically irrecoverable.</w:t>
      </w:r>
    </w:p>
    <w:p>
      <w:pPr>
        <w:spacing w:line="276" w:lineRule="auto" w:after="120"/>
      </w:pPr>
      <w:r>
        <w:rPr>
          <w:rFonts w:ascii="Arial" w:hAnsi="Arial"/>
          <w:sz w:val="20"/>
        </w:rPr>
        <w:t>- Destruction Verification Certificates: Operations systems generate monthly automated compliance certificates confirming the number of gigabytes purged and verifying that no expired records persist in production tiers.</w:t>
      </w:r>
    </w:p>
    <w:p>
      <w:pPr>
        <w:spacing w:line="276" w:lineRule="auto" w:after="120"/>
      </w:pPr>
      <w:r>
        <w:rPr>
          <w:rFonts w:ascii="Arial" w:hAnsi="Arial"/>
          <w:sz w:val="20"/>
        </w:rPr>
        <w:t>- Physical Media Decommissioning: Physical disk drives decommissioned in on-premise enclaves undergo degaussing and physical shredding conforming to NIST SP 800-88 guidelines.</w:t>
      </w:r>
    </w:p>
    <w:p>
      <w:pPr>
        <w:pStyle w:val="Heading1"/>
        <w:spacing w:before="240" w:after="80"/>
      </w:pPr>
      <w:r>
        <w:rPr>
          <w:rFonts w:ascii="Arial" w:hAnsi="Arial"/>
          <w:color w:val="1F3A60"/>
          <w:sz w:val="26"/>
        </w:rPr>
        <w:t>8. Legal Hold Overrides and Compliance Auditing</w:t>
      </w:r>
    </w:p>
    <w:p>
      <w:pPr>
        <w:spacing w:line="276" w:lineRule="auto" w:after="120"/>
      </w:pPr>
      <w:r>
        <w:rPr>
          <w:rFonts w:ascii="Arial" w:hAnsi="Arial"/>
          <w:sz w:val="20"/>
        </w:rPr>
        <w:t>In the event of active litigation, regulatory inquiry, or major cybersecurity breach investigation:</w:t>
      </w:r>
    </w:p>
    <w:p>
      <w:pPr>
        <w:spacing w:line="276" w:lineRule="auto" w:after="120"/>
      </w:pPr>
      <w:r>
        <w:rPr>
          <w:rFonts w:ascii="Arial" w:hAnsi="Arial"/>
          <w:sz w:val="20"/>
        </w:rPr>
        <w:t>- Legal Hold Activation: The Legal Department issues a formal Legal Hold notice. Operations immediately suspends automated purging policies across targeted data sets and freezes log deletion daemons.</w:t>
      </w:r>
    </w:p>
    <w:p>
      <w:pPr>
        <w:spacing w:line="276" w:lineRule="auto" w:after="120"/>
      </w:pPr>
      <w:r>
        <w:rPr>
          <w:rFonts w:ascii="Arial" w:hAnsi="Arial"/>
          <w:sz w:val="20"/>
        </w:rPr>
        <w:t>- Preservation Confirmation: Operations confirms within twenty-four (24) hours that targeted data sets are isolated, tagged with immutable retention locks, and excluded from automated lifecycle pruning.</w:t>
      </w:r>
    </w:p>
    <w:p>
      <w:pPr>
        <w:spacing w:line="276" w:lineRule="auto" w:after="120"/>
      </w:pPr>
      <w:r>
        <w:rPr>
          <w:rFonts w:ascii="Arial" w:hAnsi="Arial"/>
          <w:sz w:val="20"/>
        </w:rPr>
        <w:t>- Annual Compliance Review: Operations, Information Security (SEC-001), and Enterprise Governance collaboratively review operational data retention schedules annually to verify alignment with emerging international data privacy statutes.</w:t>
      </w:r>
    </w:p>
    <w:p>
      <w:pPr>
        <w:spacing w:line="276" w:lineRule="auto" w:after="120"/>
      </w:pPr>
      <w:r>
        <w:rPr>
          <w:rFonts w:ascii="Arial" w:hAnsi="Arial"/>
          <w:sz w:val="20"/>
        </w:rPr>
        <w:t>- Audit Evidence Packages: For external SOC 2 Type II or ISO 27001 examinations, Operations extracts cryptographically verified audit trails showing log lifecycle events, automated purge timestamps, and access logs.</w:t>
      </w:r>
    </w:p>
    <w:p>
      <w:pPr>
        <w:pStyle w:val="Heading1"/>
        <w:spacing w:before="240" w:after="80"/>
      </w:pPr>
      <w:r>
        <w:rPr>
          <w:rFonts w:ascii="Arial" w:hAnsi="Arial"/>
          <w:color w:val="1F3A60"/>
          <w:sz w:val="26"/>
        </w:rPr>
        <w:t>9. Cross-Document Governance Interconnections</w:t>
      </w:r>
    </w:p>
    <w:p>
      <w:pPr>
        <w:spacing w:line="276" w:lineRule="auto" w:after="120"/>
      </w:pPr>
      <w:r>
        <w:rPr>
          <w:rFonts w:ascii="Arial" w:hAnsi="Arial"/>
          <w:sz w:val="20"/>
        </w:rPr>
        <w:t>This guideline operates in direct harmony with enterprise security, AI governance, and operations standards:</w:t>
      </w:r>
    </w:p>
    <w:p>
      <w:pPr>
        <w:spacing w:line="276" w:lineRule="auto" w:after="120"/>
      </w:pPr>
      <w:r>
        <w:rPr>
          <w:rFonts w:ascii="Arial" w:hAnsi="Arial"/>
          <w:sz w:val="20"/>
        </w:rPr>
        <w:t>- SEC-005: Data Classification and Handling Policy (Establishes data sensitivity tiers and masking standards).</w:t>
      </w:r>
    </w:p>
    <w:p>
      <w:pPr>
        <w:spacing w:line="276" w:lineRule="auto" w:after="120"/>
      </w:pPr>
      <w:r>
        <w:rPr>
          <w:rFonts w:ascii="Arial" w:hAnsi="Arial"/>
          <w:sz w:val="20"/>
        </w:rPr>
        <w:t>- AIG-006: AI Data Privacy Policy (Governs retention of AI training corpora, prompts, and inference embeddings).</w:t>
      </w:r>
    </w:p>
    <w:p>
      <w:pPr>
        <w:spacing w:line="276" w:lineRule="auto" w:after="120"/>
      </w:pPr>
      <w:r>
        <w:rPr>
          <w:rFonts w:ascii="Arial" w:hAnsi="Arial"/>
          <w:sz w:val="20"/>
        </w:rPr>
        <w:t>- OPS-001: Service Management Policy (Governs operational documentation and service records).</w:t>
      </w:r>
    </w:p>
    <w:p>
      <w:pPr>
        <w:spacing w:line="276" w:lineRule="auto" w:after="120"/>
      </w:pPr>
      <w:r>
        <w:rPr>
          <w:rFonts w:ascii="Arial" w:hAnsi="Arial"/>
          <w:sz w:val="20"/>
        </w:rPr>
        <w:t>- OPS-002: Change Management Policy (Governs retention of change requests and approval records).</w:t>
      </w:r>
    </w:p>
    <w:p>
      <w:pPr>
        <w:spacing w:line="276" w:lineRule="auto" w:after="120"/>
      </w:pPr>
      <w:r>
        <w:rPr>
          <w:rFonts w:ascii="Arial" w:hAnsi="Arial"/>
          <w:sz w:val="20"/>
        </w:rPr>
        <w:t>- OPS-006: Operational Incident Escalation Procedure (Governs incident logs and post-mortem retention).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