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00" w:type="dxa"/>
        <w:tblInd w:w="108" w:type="dxa"/>
        <w:tblLayout w:type="fixed"/>
        <w:tblLook w:val="04A0" w:firstRow="1" w:lastRow="0" w:firstColumn="1" w:lastColumn="0" w:noHBand="0" w:noVBand="1"/>
      </w:tblPr>
      <w:tblGrid>
        <w:gridCol w:w="4950"/>
        <w:gridCol w:w="2340"/>
        <w:gridCol w:w="2610"/>
      </w:tblGrid>
      <w:tr w:rsidR="00E46578" w:rsidRPr="00E46578" w:rsidTr="0055650E">
        <w:trPr>
          <w:trHeight w:val="440"/>
        </w:trPr>
        <w:tc>
          <w:tcPr>
            <w:tcW w:w="990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46578" w:rsidRPr="00E46578" w:rsidRDefault="00E46578" w:rsidP="00B131AB">
            <w:pPr>
              <w:rPr>
                <w:color w:val="1F497D" w:themeColor="text2"/>
                <w:sz w:val="28"/>
              </w:rPr>
            </w:pPr>
            <w:r w:rsidRPr="00E46578">
              <w:rPr>
                <w:color w:val="1F497D" w:themeColor="text2"/>
                <w:sz w:val="28"/>
              </w:rPr>
              <w:t xml:space="preserve">Model Name: </w:t>
            </w:r>
            <w:r w:rsidR="005E20AB">
              <w:rPr>
                <w:color w:val="1F497D" w:themeColor="text2"/>
                <w:sz w:val="28"/>
              </w:rPr>
              <w:t xml:space="preserve">  </w:t>
            </w:r>
            <w:r w:rsidR="00B131AB">
              <w:rPr>
                <w:color w:val="1F497D" w:themeColor="text2"/>
                <w:sz w:val="28"/>
              </w:rPr>
              <w:t>Measurements</w:t>
            </w:r>
          </w:p>
        </w:tc>
      </w:tr>
      <w:tr w:rsidR="00E46578" w:rsidTr="0055650E">
        <w:trPr>
          <w:trHeight w:val="547"/>
        </w:trPr>
        <w:tc>
          <w:tcPr>
            <w:tcW w:w="49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Default="00E46578" w:rsidP="00543C7B">
            <w:pPr>
              <w:rPr>
                <w:color w:val="1F497D" w:themeColor="text2"/>
              </w:rPr>
            </w:pPr>
            <w:r>
              <w:rPr>
                <w:color w:val="1F497D" w:themeColor="text2"/>
              </w:rPr>
              <w:t>Name and affiliation of author or POC:</w:t>
            </w:r>
          </w:p>
          <w:p w:rsidR="00E46578" w:rsidRPr="0025762C" w:rsidRDefault="00C03EE8" w:rsidP="00543C7B">
            <w:r>
              <w:t>Reynaldo Salcedo</w:t>
            </w:r>
            <w:r w:rsidR="005E20AB">
              <w:t>, MIT Lincoln Laboratory</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Default="00E46578">
            <w:pPr>
              <w:rPr>
                <w:color w:val="1F497D" w:themeColor="text2"/>
              </w:rPr>
            </w:pPr>
            <w:r>
              <w:rPr>
                <w:color w:val="1F497D" w:themeColor="text2"/>
              </w:rPr>
              <w:t xml:space="preserve">Model </w:t>
            </w:r>
            <w:r w:rsidRPr="00543C7B">
              <w:rPr>
                <w:color w:val="1F497D" w:themeColor="text2"/>
              </w:rPr>
              <w:t>Symbol</w:t>
            </w:r>
            <w:r>
              <w:rPr>
                <w:color w:val="1F497D" w:themeColor="text2"/>
              </w:rPr>
              <w:t>:</w:t>
            </w:r>
          </w:p>
          <w:p w:rsidR="00E46578" w:rsidRPr="0025762C" w:rsidRDefault="00E46578"/>
          <w:p w:rsidR="00E46578" w:rsidRDefault="00B131AB">
            <w:pPr>
              <w:rPr>
                <w:color w:val="1F497D" w:themeColor="text2"/>
              </w:rPr>
            </w:pPr>
            <w:r>
              <w:rPr>
                <w:noProof/>
              </w:rPr>
              <w:drawing>
                <wp:inline distT="0" distB="0" distL="0" distR="0" wp14:anchorId="322BE459" wp14:editId="3E66FED2">
                  <wp:extent cx="1144162"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44162" cy="476250"/>
                          </a:xfrm>
                          <a:prstGeom prst="rect">
                            <a:avLst/>
                          </a:prstGeom>
                        </pic:spPr>
                      </pic:pic>
                    </a:graphicData>
                  </a:graphic>
                </wp:inline>
              </w:drawing>
            </w:r>
          </w:p>
          <w:p w:rsidR="00B131AB" w:rsidRPr="00543C7B" w:rsidRDefault="00B131AB">
            <w:pPr>
              <w:rPr>
                <w:color w:val="1F497D" w:themeColor="text2"/>
              </w:rPr>
            </w:pPr>
          </w:p>
        </w:tc>
        <w:tc>
          <w:tcPr>
            <w:tcW w:w="2610" w:type="dxa"/>
            <w:vMerge w:val="restart"/>
            <w:tcBorders>
              <w:top w:val="single" w:sz="4" w:space="0" w:color="auto"/>
              <w:left w:val="single" w:sz="4" w:space="0" w:color="auto"/>
              <w:bottom w:val="single" w:sz="4" w:space="0" w:color="auto"/>
              <w:right w:val="single" w:sz="4" w:space="0" w:color="auto"/>
            </w:tcBorders>
            <w:shd w:val="clear" w:color="auto" w:fill="EAF1DD" w:themeFill="accent3" w:themeFillTint="33"/>
          </w:tcPr>
          <w:p w:rsidR="0055650E" w:rsidRDefault="0055650E" w:rsidP="0055650E">
            <w:pPr>
              <w:rPr>
                <w:color w:val="1F497D" w:themeColor="text2"/>
              </w:rPr>
            </w:pPr>
            <w:r>
              <w:rPr>
                <w:color w:val="1F497D" w:themeColor="text2"/>
              </w:rPr>
              <w:t>Accreditation (TRL?):</w:t>
            </w:r>
          </w:p>
          <w:p w:rsidR="0055650E" w:rsidRPr="0025762C" w:rsidRDefault="001D47AB" w:rsidP="001D47AB">
            <w:r>
              <w:t xml:space="preserve">SimPowerSystems standard </w:t>
            </w:r>
          </w:p>
        </w:tc>
      </w:tr>
      <w:tr w:rsidR="00E46578" w:rsidTr="0055650E">
        <w:trPr>
          <w:trHeight w:val="431"/>
        </w:trPr>
        <w:tc>
          <w:tcPr>
            <w:tcW w:w="49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Default="00E46578" w:rsidP="00543C7B">
            <w:pPr>
              <w:rPr>
                <w:color w:val="1F497D" w:themeColor="text2"/>
              </w:rPr>
            </w:pPr>
            <w:r w:rsidRPr="00543C7B">
              <w:rPr>
                <w:color w:val="1F497D" w:themeColor="text2"/>
              </w:rPr>
              <w:t>Date of Publication:</w:t>
            </w:r>
          </w:p>
          <w:p w:rsidR="00E46578" w:rsidRPr="0025762C" w:rsidRDefault="00C03EE8" w:rsidP="00C03EE8">
            <w:r>
              <w:t>3</w:t>
            </w:r>
            <w:r w:rsidR="000D0AD4">
              <w:t>/</w:t>
            </w:r>
            <w:r>
              <w:t>15</w:t>
            </w:r>
            <w:r w:rsidR="000D0AD4">
              <w:t>/2017</w:t>
            </w:r>
          </w:p>
        </w:tc>
        <w:tc>
          <w:tcPr>
            <w:tcW w:w="2340" w:type="dxa"/>
            <w:vMerge/>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Pr="00543C7B" w:rsidRDefault="00E46578">
            <w:pPr>
              <w:rPr>
                <w:color w:val="1F497D" w:themeColor="text2"/>
              </w:rPr>
            </w:pPr>
          </w:p>
        </w:tc>
        <w:tc>
          <w:tcPr>
            <w:tcW w:w="2610" w:type="dxa"/>
            <w:vMerge/>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Pr="00543C7B" w:rsidRDefault="00E46578">
            <w:pPr>
              <w:rPr>
                <w:color w:val="1F497D" w:themeColor="text2"/>
              </w:rPr>
            </w:pPr>
          </w:p>
        </w:tc>
      </w:tr>
      <w:tr w:rsidR="00E46578" w:rsidTr="0055650E">
        <w:trPr>
          <w:trHeight w:val="404"/>
        </w:trPr>
        <w:tc>
          <w:tcPr>
            <w:tcW w:w="49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Default="0008001B" w:rsidP="00543C7B">
            <w:pPr>
              <w:rPr>
                <w:color w:val="1F497D" w:themeColor="text2"/>
              </w:rPr>
            </w:pPr>
            <w:r>
              <w:rPr>
                <w:color w:val="1F497D" w:themeColor="text2"/>
              </w:rPr>
              <w:t>V</w:t>
            </w:r>
            <w:r w:rsidR="00E46578" w:rsidRPr="00543C7B">
              <w:rPr>
                <w:color w:val="1F497D" w:themeColor="text2"/>
              </w:rPr>
              <w:t>ersion</w:t>
            </w:r>
            <w:r w:rsidR="00E46578">
              <w:rPr>
                <w:color w:val="1F497D" w:themeColor="text2"/>
              </w:rPr>
              <w:t xml:space="preserve"> Information</w:t>
            </w:r>
            <w:r w:rsidR="00E46578" w:rsidRPr="00543C7B">
              <w:rPr>
                <w:color w:val="1F497D" w:themeColor="text2"/>
              </w:rPr>
              <w:t>:</w:t>
            </w:r>
          </w:p>
          <w:p w:rsidR="00E46578" w:rsidRPr="0025762C" w:rsidRDefault="005E20AB" w:rsidP="00543C7B">
            <w:r>
              <w:t>1.0</w:t>
            </w:r>
          </w:p>
        </w:tc>
        <w:tc>
          <w:tcPr>
            <w:tcW w:w="2340" w:type="dxa"/>
            <w:vMerge/>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Pr="00543C7B" w:rsidRDefault="00E46578">
            <w:pPr>
              <w:rPr>
                <w:color w:val="1F497D" w:themeColor="text2"/>
              </w:rPr>
            </w:pPr>
          </w:p>
        </w:tc>
        <w:tc>
          <w:tcPr>
            <w:tcW w:w="2610" w:type="dxa"/>
            <w:vMerge/>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Pr="00543C7B" w:rsidRDefault="00E46578">
            <w:pPr>
              <w:rPr>
                <w:color w:val="1F497D" w:themeColor="text2"/>
              </w:rPr>
            </w:pPr>
          </w:p>
        </w:tc>
      </w:tr>
      <w:tr w:rsidR="00E46578" w:rsidTr="0055650E">
        <w:trPr>
          <w:trHeight w:val="575"/>
        </w:trPr>
        <w:tc>
          <w:tcPr>
            <w:tcW w:w="49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Default="0055650E" w:rsidP="0055650E">
            <w:pPr>
              <w:rPr>
                <w:color w:val="1F497D" w:themeColor="text2"/>
              </w:rPr>
            </w:pPr>
            <w:r>
              <w:rPr>
                <w:color w:val="1F497D" w:themeColor="text2"/>
              </w:rPr>
              <w:t>Model a</w:t>
            </w:r>
            <w:r w:rsidR="00E46578">
              <w:rPr>
                <w:color w:val="1F497D" w:themeColor="text2"/>
              </w:rPr>
              <w:t>ccessibility</w:t>
            </w:r>
            <w:r>
              <w:rPr>
                <w:color w:val="1F497D" w:themeColor="text2"/>
              </w:rPr>
              <w:t xml:space="preserve"> (open source, license, …)</w:t>
            </w:r>
            <w:r w:rsidR="00E46578">
              <w:rPr>
                <w:color w:val="1F497D" w:themeColor="text2"/>
              </w:rPr>
              <w:t xml:space="preserve">: </w:t>
            </w:r>
          </w:p>
          <w:p w:rsidR="0025762C" w:rsidRPr="0025762C" w:rsidRDefault="000D0AD4" w:rsidP="0055650E">
            <w:r>
              <w:t>Open source</w:t>
            </w:r>
          </w:p>
        </w:tc>
        <w:tc>
          <w:tcPr>
            <w:tcW w:w="2340" w:type="dxa"/>
            <w:vMerge/>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Pr="00543C7B" w:rsidRDefault="00E46578">
            <w:pPr>
              <w:rPr>
                <w:color w:val="1F497D" w:themeColor="text2"/>
              </w:rPr>
            </w:pPr>
          </w:p>
        </w:tc>
        <w:tc>
          <w:tcPr>
            <w:tcW w:w="2610" w:type="dxa"/>
            <w:vMerge/>
            <w:tcBorders>
              <w:top w:val="single" w:sz="4" w:space="0" w:color="auto"/>
              <w:left w:val="single" w:sz="4" w:space="0" w:color="auto"/>
              <w:bottom w:val="single" w:sz="4" w:space="0" w:color="auto"/>
              <w:right w:val="single" w:sz="4" w:space="0" w:color="auto"/>
            </w:tcBorders>
            <w:shd w:val="clear" w:color="auto" w:fill="EAF1DD" w:themeFill="accent3" w:themeFillTint="33"/>
          </w:tcPr>
          <w:p w:rsidR="00E46578" w:rsidRPr="00543C7B" w:rsidRDefault="00E46578">
            <w:pPr>
              <w:rPr>
                <w:color w:val="1F497D" w:themeColor="text2"/>
              </w:rPr>
            </w:pPr>
          </w:p>
        </w:tc>
      </w:tr>
      <w:tr w:rsidR="0055650E" w:rsidTr="0055650E">
        <w:trPr>
          <w:trHeight w:val="584"/>
        </w:trPr>
        <w:tc>
          <w:tcPr>
            <w:tcW w:w="990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5650E" w:rsidRDefault="00831B89" w:rsidP="00DE6B66">
            <w:pPr>
              <w:rPr>
                <w:color w:val="1F497D" w:themeColor="text2"/>
              </w:rPr>
            </w:pPr>
            <w:r>
              <w:rPr>
                <w:color w:val="1F497D" w:themeColor="text2"/>
              </w:rPr>
              <w:t>Model Description and Theory of Operation:</w:t>
            </w:r>
          </w:p>
          <w:p w:rsidR="008407F8" w:rsidRDefault="008407F8" w:rsidP="00847484">
            <w:r>
              <w:t>Calculation of standard measured characteristics in an electric system based on instantaneous voltage and current probed at a point of interest. The block receives as input the signal output from the circuit breaker or the fast load shedding circuit breaker, and outputs calculated power, frequency, and normalized voltage quantities.</w:t>
            </w:r>
          </w:p>
          <w:p w:rsidR="00847484" w:rsidRDefault="00847484" w:rsidP="001D47AB"/>
          <w:p w:rsidR="0055650E" w:rsidRDefault="0055650E" w:rsidP="00DE6B66">
            <w:pPr>
              <w:rPr>
                <w:color w:val="1F497D" w:themeColor="text2"/>
              </w:rPr>
            </w:pPr>
            <w:r>
              <w:rPr>
                <w:color w:val="1F497D" w:themeColor="text2"/>
              </w:rPr>
              <w:t>List of References:</w:t>
            </w:r>
          </w:p>
          <w:p w:rsidR="0055650E" w:rsidRPr="00543C7B" w:rsidRDefault="001D47AB" w:rsidP="001D47AB">
            <w:pPr>
              <w:pStyle w:val="ListParagraph"/>
              <w:numPr>
                <w:ilvl w:val="0"/>
                <w:numId w:val="1"/>
              </w:numPr>
              <w:ind w:left="342" w:hanging="180"/>
              <w:rPr>
                <w:color w:val="1F497D" w:themeColor="text2"/>
              </w:rPr>
            </w:pPr>
            <w:r>
              <w:t>See SimPowerSystems documentation</w:t>
            </w:r>
          </w:p>
        </w:tc>
      </w:tr>
      <w:tr w:rsidR="0055650E" w:rsidTr="0055650E">
        <w:trPr>
          <w:trHeight w:val="629"/>
        </w:trPr>
        <w:tc>
          <w:tcPr>
            <w:tcW w:w="990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5650E" w:rsidRDefault="0055650E">
            <w:pPr>
              <w:rPr>
                <w:color w:val="1F497D" w:themeColor="text2"/>
              </w:rPr>
            </w:pPr>
            <w:r>
              <w:rPr>
                <w:color w:val="1F497D" w:themeColor="text2"/>
              </w:rPr>
              <w:t>Model Specifications:</w:t>
            </w:r>
          </w:p>
          <w:p w:rsidR="0055650E" w:rsidRDefault="0055650E"/>
          <w:p w:rsidR="00B131AB" w:rsidRPr="0025762C" w:rsidRDefault="008407F8" w:rsidP="00B131AB">
            <w:r>
              <w:t xml:space="preserve">The </w:t>
            </w:r>
            <w:r>
              <w:t xml:space="preserve">measurement block </w:t>
            </w:r>
            <w:r>
              <w:t xml:space="preserve">is implemented using the default </w:t>
            </w:r>
            <w:r>
              <w:t xml:space="preserve">Simulink and </w:t>
            </w:r>
            <w:r>
              <w:t>SimPowerSystems function blocks</w:t>
            </w:r>
            <w:r>
              <w:t xml:space="preserve">. It use Simulink PLL and PQ Calculation blocks, thus inheriting </w:t>
            </w:r>
            <w:r w:rsidR="00DB55E2">
              <w:t>limitations.</w:t>
            </w:r>
          </w:p>
          <w:p w:rsidR="0055650E" w:rsidRPr="0025762C" w:rsidRDefault="0055650E"/>
          <w:p w:rsidR="0055650E" w:rsidRDefault="0055650E" w:rsidP="0055650E">
            <w:pPr>
              <w:rPr>
                <w:color w:val="1F497D" w:themeColor="text2"/>
              </w:rPr>
            </w:pPr>
            <w:r>
              <w:rPr>
                <w:color w:val="1F497D" w:themeColor="text2"/>
              </w:rPr>
              <w:t>Assumptions and Limitations</w:t>
            </w:r>
          </w:p>
          <w:p w:rsidR="00DB55E2" w:rsidRDefault="008407F8" w:rsidP="001D47AB">
            <w:pPr>
              <w:pStyle w:val="ListParagraph"/>
              <w:numPr>
                <w:ilvl w:val="0"/>
                <w:numId w:val="1"/>
              </w:numPr>
              <w:ind w:left="342" w:hanging="180"/>
            </w:pPr>
            <w:r>
              <w:t xml:space="preserve">Signal frequency </w:t>
            </w:r>
            <w:r w:rsidR="00DB55E2">
              <w:t>should not be</w:t>
            </w:r>
            <w:r>
              <w:t xml:space="preserve"> outs</w:t>
            </w:r>
            <w:r w:rsidR="00DB55E2">
              <w:t>ide the 45Hz-70Hz range – PLL limitations</w:t>
            </w:r>
          </w:p>
          <w:p w:rsidR="0055650E" w:rsidRDefault="00DB55E2" w:rsidP="001D47AB">
            <w:pPr>
              <w:pStyle w:val="ListParagraph"/>
              <w:numPr>
                <w:ilvl w:val="0"/>
                <w:numId w:val="1"/>
              </w:numPr>
              <w:ind w:left="342" w:hanging="180"/>
            </w:pPr>
            <w:r>
              <w:t xml:space="preserve">Near balanced power flow – uses phase-A to compute frequency and per-unit voltage </w:t>
            </w:r>
          </w:p>
          <w:p w:rsidR="0055650E" w:rsidRPr="0055650E" w:rsidRDefault="0055650E" w:rsidP="00DB55E2">
            <w:pPr>
              <w:pStyle w:val="ListParagraph"/>
              <w:ind w:left="342"/>
              <w:rPr>
                <w:color w:val="1F497D" w:themeColor="text2"/>
              </w:rPr>
            </w:pPr>
          </w:p>
        </w:tc>
      </w:tr>
      <w:tr w:rsidR="0055650E" w:rsidTr="0055650E">
        <w:trPr>
          <w:trHeight w:val="629"/>
        </w:trPr>
        <w:tc>
          <w:tcPr>
            <w:tcW w:w="990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5650E" w:rsidRDefault="0055650E" w:rsidP="0055650E">
            <w:pPr>
              <w:rPr>
                <w:color w:val="1F497D" w:themeColor="text2"/>
              </w:rPr>
            </w:pPr>
            <w:r>
              <w:rPr>
                <w:color w:val="1F497D" w:themeColor="text2"/>
              </w:rPr>
              <w:t>Interfacing Information (platform, input requirements, possible outputs):</w:t>
            </w:r>
          </w:p>
          <w:p w:rsidR="006B033E" w:rsidRDefault="00831B89" w:rsidP="006B4501">
            <w:pPr>
              <w:pStyle w:val="ListParagraph"/>
              <w:numPr>
                <w:ilvl w:val="0"/>
                <w:numId w:val="3"/>
              </w:numPr>
            </w:pPr>
            <w:r>
              <w:t xml:space="preserve">Inputs: </w:t>
            </w:r>
          </w:p>
          <w:p w:rsidR="004E3C76" w:rsidRDefault="004E3C76" w:rsidP="004E3C76">
            <w:pPr>
              <w:pStyle w:val="ListParagraph"/>
              <w:ind w:left="1440"/>
            </w:pPr>
            <w:r>
              <w:t xml:space="preserve">             </w:t>
            </w:r>
            <w:r w:rsidR="00DB55E2">
              <w:t>Voltage and current measurements from the circuit breaker models</w:t>
            </w:r>
          </w:p>
          <w:p w:rsidR="00831B89" w:rsidRDefault="00831B89" w:rsidP="006B4501">
            <w:pPr>
              <w:pStyle w:val="ListParagraph"/>
              <w:numPr>
                <w:ilvl w:val="0"/>
                <w:numId w:val="3"/>
              </w:numPr>
            </w:pPr>
            <w:r>
              <w:t>Outputs:</w:t>
            </w:r>
          </w:p>
          <w:p w:rsidR="004E3C76" w:rsidRDefault="00DB55E2" w:rsidP="00DB55E2">
            <w:pPr>
              <w:pStyle w:val="ListParagraph"/>
              <w:ind w:left="2142"/>
            </w:pPr>
            <w:r>
              <w:t>V</w:t>
            </w:r>
            <w:r w:rsidR="004E3C76">
              <w:t>oltage</w:t>
            </w:r>
            <w:r>
              <w:t xml:space="preserve"> (VRMSLL)</w:t>
            </w:r>
            <w:r w:rsidR="004E3C76">
              <w:t>, current</w:t>
            </w:r>
            <w:r>
              <w:t xml:space="preserve"> (A)</w:t>
            </w:r>
            <w:r w:rsidR="004E3C76">
              <w:t xml:space="preserve">, </w:t>
            </w:r>
            <w:r>
              <w:t xml:space="preserve">frequency (Hz), active power (kW), reactive power (kVAR), per-unit voltage (Vpu), </w:t>
            </w:r>
            <w:r w:rsidR="004E3C76">
              <w:t>and breaker status.</w:t>
            </w:r>
          </w:p>
          <w:p w:rsidR="006B4501" w:rsidRDefault="006B4501" w:rsidP="006B4501">
            <w:pPr>
              <w:pStyle w:val="ListParagraph"/>
              <w:numPr>
                <w:ilvl w:val="0"/>
                <w:numId w:val="3"/>
              </w:numPr>
            </w:pPr>
            <w:r>
              <w:t>Electrical connections:</w:t>
            </w:r>
          </w:p>
          <w:p w:rsidR="006B033E" w:rsidRDefault="006B033E" w:rsidP="006B4501">
            <w:pPr>
              <w:pStyle w:val="ListParagraph"/>
              <w:numPr>
                <w:ilvl w:val="0"/>
                <w:numId w:val="3"/>
              </w:numPr>
            </w:pPr>
            <w:r>
              <w:t>Parameters:</w:t>
            </w:r>
          </w:p>
          <w:p w:rsidR="00847484" w:rsidRDefault="004E3C76" w:rsidP="004E3C76">
            <w:pPr>
              <w:ind w:left="2160"/>
            </w:pPr>
            <w:r>
              <w:t>Ts (seconds) – Simulation sample time</w:t>
            </w:r>
          </w:p>
          <w:p w:rsidR="006B033E" w:rsidRDefault="00DB55E2" w:rsidP="00DB55E2">
            <w:pPr>
              <w:ind w:left="2160"/>
            </w:pPr>
            <w:r>
              <w:t>Nominal Voltage</w:t>
            </w:r>
            <w:r w:rsidR="004E3C76">
              <w:t xml:space="preserve"> (</w:t>
            </w:r>
            <w:r>
              <w:t>RMSLL</w:t>
            </w:r>
            <w:r w:rsidR="004E3C76">
              <w:t xml:space="preserve">) – </w:t>
            </w:r>
            <w:r>
              <w:t>Nominal voltage RMS line-to-line</w:t>
            </w:r>
          </w:p>
          <w:p w:rsidR="00DB55E2" w:rsidRDefault="00DB55E2" w:rsidP="00DB55E2">
            <w:pPr>
              <w:ind w:left="2160"/>
            </w:pPr>
          </w:p>
          <w:p w:rsidR="00DB55E2" w:rsidRPr="0025762C" w:rsidRDefault="00DB55E2" w:rsidP="00DB55E2">
            <w:pPr>
              <w:ind w:left="2160"/>
            </w:pPr>
          </w:p>
        </w:tc>
      </w:tr>
      <w:tr w:rsidR="0055650E" w:rsidTr="0025762C">
        <w:trPr>
          <w:trHeight w:val="2870"/>
        </w:trPr>
        <w:tc>
          <w:tcPr>
            <w:tcW w:w="990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5650E" w:rsidRDefault="0055650E">
            <w:pPr>
              <w:rPr>
                <w:color w:val="1F497D" w:themeColor="text2"/>
              </w:rPr>
            </w:pPr>
            <w:r w:rsidRPr="00543C7B">
              <w:rPr>
                <w:color w:val="1F497D" w:themeColor="text2"/>
              </w:rPr>
              <w:lastRenderedPageBreak/>
              <w:t>Diagrammatic Representation</w:t>
            </w:r>
            <w:r w:rsidR="00831B89">
              <w:rPr>
                <w:color w:val="1F497D" w:themeColor="text2"/>
              </w:rPr>
              <w:t xml:space="preserve"> of Model Internals</w:t>
            </w:r>
            <w:r>
              <w:rPr>
                <w:color w:val="1F497D" w:themeColor="text2"/>
              </w:rPr>
              <w:t>:</w:t>
            </w:r>
          </w:p>
          <w:p w:rsidR="0055650E" w:rsidRDefault="0055650E" w:rsidP="00D20DB9"/>
          <w:p w:rsidR="003340DA" w:rsidRDefault="00B131AB" w:rsidP="00D20DB9">
            <w:r>
              <w:rPr>
                <w:noProof/>
              </w:rPr>
              <w:drawing>
                <wp:inline distT="0" distB="0" distL="0" distR="0" wp14:anchorId="53649E16" wp14:editId="52F14CE3">
                  <wp:extent cx="5859619" cy="29241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80070" cy="2934381"/>
                          </a:xfrm>
                          <a:prstGeom prst="rect">
                            <a:avLst/>
                          </a:prstGeom>
                        </pic:spPr>
                      </pic:pic>
                    </a:graphicData>
                  </a:graphic>
                </wp:inline>
              </w:drawing>
            </w:r>
          </w:p>
          <w:p w:rsidR="003340DA" w:rsidRPr="0025762C" w:rsidRDefault="003340DA" w:rsidP="00D20DB9"/>
        </w:tc>
      </w:tr>
      <w:tr w:rsidR="0055650E" w:rsidTr="0085487C">
        <w:trPr>
          <w:trHeight w:val="1160"/>
        </w:trPr>
        <w:tc>
          <w:tcPr>
            <w:tcW w:w="990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5650E" w:rsidRDefault="0055650E">
            <w:pPr>
              <w:rPr>
                <w:color w:val="1F497D" w:themeColor="text2"/>
              </w:rPr>
            </w:pPr>
            <w:r>
              <w:rPr>
                <w:color w:val="1F497D" w:themeColor="text2"/>
              </w:rPr>
              <w:t xml:space="preserve">Model Validation (technique used, evidence): </w:t>
            </w:r>
          </w:p>
          <w:p w:rsidR="0055650E" w:rsidRDefault="0055650E">
            <w:pPr>
              <w:rPr>
                <w:color w:val="1F497D" w:themeColor="text2"/>
              </w:rPr>
            </w:pPr>
          </w:p>
          <w:p w:rsidR="0055650E" w:rsidRPr="00D54332" w:rsidRDefault="0085487C" w:rsidP="00D54332">
            <w:pPr>
              <w:rPr>
                <w:color w:val="1F497D" w:themeColor="text2"/>
              </w:rPr>
            </w:pPr>
            <w:r>
              <w:rPr>
                <w:color w:val="1F497D" w:themeColor="text2"/>
              </w:rPr>
              <w:t>Output quantities were verified using hand-calculations</w:t>
            </w:r>
            <w:bookmarkStart w:id="0" w:name="_GoBack"/>
            <w:bookmarkEnd w:id="0"/>
          </w:p>
        </w:tc>
      </w:tr>
      <w:tr w:rsidR="006B033E" w:rsidTr="006B033E">
        <w:trPr>
          <w:trHeight w:val="1151"/>
        </w:trPr>
        <w:tc>
          <w:tcPr>
            <w:tcW w:w="990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B033E" w:rsidRDefault="006B033E">
            <w:pPr>
              <w:rPr>
                <w:noProof/>
                <w:color w:val="1F497D" w:themeColor="text2"/>
              </w:rPr>
            </w:pPr>
            <w:r>
              <w:rPr>
                <w:noProof/>
                <w:color w:val="1F497D" w:themeColor="text2"/>
              </w:rPr>
              <w:t>Simulation Platform, Solvers:</w:t>
            </w:r>
          </w:p>
          <w:p w:rsidR="006B033E" w:rsidRDefault="006B033E">
            <w:pPr>
              <w:rPr>
                <w:noProof/>
                <w:color w:val="1F497D" w:themeColor="text2"/>
              </w:rPr>
            </w:pPr>
          </w:p>
          <w:p w:rsidR="006B033E" w:rsidRDefault="006B033E" w:rsidP="001758D0">
            <w:pPr>
              <w:rPr>
                <w:noProof/>
                <w:color w:val="1F497D" w:themeColor="text2"/>
              </w:rPr>
            </w:pPr>
            <w:r>
              <w:rPr>
                <w:noProof/>
                <w:color w:val="1F497D" w:themeColor="text2"/>
              </w:rPr>
              <w:t>Matlab 201</w:t>
            </w:r>
            <w:r w:rsidR="001758D0">
              <w:rPr>
                <w:noProof/>
                <w:color w:val="1F497D" w:themeColor="text2"/>
              </w:rPr>
              <w:t>3a</w:t>
            </w:r>
            <w:r>
              <w:rPr>
                <w:noProof/>
                <w:color w:val="1F497D" w:themeColor="text2"/>
              </w:rPr>
              <w:t xml:space="preserve"> with Simscape.  A discrete </w:t>
            </w:r>
            <w:r w:rsidR="001758D0">
              <w:rPr>
                <w:noProof/>
                <w:color w:val="1F497D" w:themeColor="text2"/>
              </w:rPr>
              <w:t xml:space="preserve">Tustin </w:t>
            </w:r>
            <w:r>
              <w:rPr>
                <w:noProof/>
                <w:color w:val="1F497D" w:themeColor="text2"/>
              </w:rPr>
              <w:t>solver with 1</w:t>
            </w:r>
            <w:r w:rsidR="00576D81">
              <w:rPr>
                <w:noProof/>
                <w:color w:val="1F497D" w:themeColor="text2"/>
              </w:rPr>
              <w:t>00</w:t>
            </w:r>
            <w:r>
              <w:rPr>
                <w:noProof/>
                <w:color w:val="1F497D" w:themeColor="text2"/>
              </w:rPr>
              <w:t>us time step was used</w:t>
            </w:r>
            <w:r w:rsidR="00576D81">
              <w:rPr>
                <w:noProof/>
                <w:color w:val="1F497D" w:themeColor="text2"/>
              </w:rPr>
              <w:t>.</w:t>
            </w:r>
          </w:p>
        </w:tc>
      </w:tr>
      <w:tr w:rsidR="006B033E" w:rsidTr="006B033E">
        <w:trPr>
          <w:trHeight w:val="1250"/>
        </w:trPr>
        <w:tc>
          <w:tcPr>
            <w:tcW w:w="990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B033E" w:rsidRDefault="006B033E">
            <w:pPr>
              <w:rPr>
                <w:noProof/>
                <w:color w:val="1F497D" w:themeColor="text2"/>
              </w:rPr>
            </w:pPr>
            <w:r>
              <w:rPr>
                <w:noProof/>
                <w:color w:val="1F497D" w:themeColor="text2"/>
              </w:rPr>
              <w:t>Known Issues:</w:t>
            </w:r>
          </w:p>
          <w:p w:rsidR="006B033E" w:rsidRDefault="006B033E">
            <w:pPr>
              <w:rPr>
                <w:noProof/>
                <w:color w:val="1F497D" w:themeColor="text2"/>
              </w:rPr>
            </w:pPr>
          </w:p>
          <w:p w:rsidR="006B033E" w:rsidRDefault="0085487C" w:rsidP="00D54332">
            <w:pPr>
              <w:rPr>
                <w:noProof/>
                <w:color w:val="1F497D" w:themeColor="text2"/>
              </w:rPr>
            </w:pPr>
            <w:r>
              <w:rPr>
                <w:color w:val="000000"/>
              </w:rPr>
              <w:t>N/A</w:t>
            </w:r>
          </w:p>
        </w:tc>
      </w:tr>
      <w:tr w:rsidR="001F24A8" w:rsidTr="006B033E">
        <w:trPr>
          <w:trHeight w:val="1250"/>
        </w:trPr>
        <w:tc>
          <w:tcPr>
            <w:tcW w:w="990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24A8" w:rsidRDefault="001F24A8">
            <w:pPr>
              <w:rPr>
                <w:noProof/>
                <w:color w:val="1F497D" w:themeColor="text2"/>
              </w:rPr>
            </w:pPr>
            <w:r>
              <w:rPr>
                <w:noProof/>
                <w:color w:val="1F497D" w:themeColor="text2"/>
              </w:rPr>
              <w:t>Models which use this block:</w:t>
            </w:r>
          </w:p>
          <w:p w:rsidR="001F24A8" w:rsidRDefault="001F24A8">
            <w:pPr>
              <w:rPr>
                <w:noProof/>
                <w:color w:val="1F497D" w:themeColor="text2"/>
              </w:rPr>
            </w:pPr>
          </w:p>
          <w:p w:rsidR="001F24A8" w:rsidRDefault="001758D0" w:rsidP="001758D0">
            <w:pPr>
              <w:rPr>
                <w:noProof/>
                <w:color w:val="1F497D" w:themeColor="text2"/>
              </w:rPr>
            </w:pPr>
            <w:r>
              <w:rPr>
                <w:noProof/>
                <w:color w:val="1F497D" w:themeColor="text2"/>
              </w:rPr>
              <w:t>Basic element for numerous distribution systems.</w:t>
            </w:r>
          </w:p>
        </w:tc>
      </w:tr>
    </w:tbl>
    <w:p w:rsidR="00804F06" w:rsidRDefault="00804F06"/>
    <w:sectPr w:rsidR="00804F06" w:rsidSect="00E46578">
      <w:headerReference w:type="default" r:id="rId11"/>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D24" w:rsidRDefault="005F0D24" w:rsidP="00502517">
      <w:pPr>
        <w:spacing w:after="0" w:line="240" w:lineRule="auto"/>
      </w:pPr>
      <w:r>
        <w:separator/>
      </w:r>
    </w:p>
  </w:endnote>
  <w:endnote w:type="continuationSeparator" w:id="0">
    <w:p w:rsidR="005F0D24" w:rsidRDefault="005F0D24" w:rsidP="00502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D24" w:rsidRDefault="005F0D24" w:rsidP="00502517">
      <w:pPr>
        <w:spacing w:after="0" w:line="240" w:lineRule="auto"/>
      </w:pPr>
      <w:r>
        <w:separator/>
      </w:r>
    </w:p>
  </w:footnote>
  <w:footnote w:type="continuationSeparator" w:id="0">
    <w:p w:rsidR="005F0D24" w:rsidRDefault="005F0D24" w:rsidP="005025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C7B" w:rsidRPr="00543C7B" w:rsidRDefault="00543C7B" w:rsidP="00543C7B">
    <w:pPr>
      <w:tabs>
        <w:tab w:val="right" w:pos="9720"/>
      </w:tabs>
      <w:spacing w:after="0" w:line="240" w:lineRule="auto"/>
      <w:rPr>
        <w:color w:val="1F497D" w:themeColor="text2"/>
        <w:sz w:val="44"/>
      </w:rPr>
    </w:pPr>
    <w:r w:rsidRPr="00543C7B">
      <w:rPr>
        <w:noProof/>
        <w:color w:val="1F497D" w:themeColor="text2"/>
        <w:sz w:val="28"/>
      </w:rPr>
      <w:drawing>
        <wp:anchor distT="0" distB="0" distL="114300" distR="114300" simplePos="0" relativeHeight="251658240" behindDoc="1" locked="0" layoutInCell="1" allowOverlap="1" wp14:anchorId="14DBB990" wp14:editId="4C6A863B">
          <wp:simplePos x="0" y="0"/>
          <wp:positionH relativeFrom="column">
            <wp:posOffset>5046980</wp:posOffset>
          </wp:positionH>
          <wp:positionV relativeFrom="paragraph">
            <wp:posOffset>-196215</wp:posOffset>
          </wp:positionV>
          <wp:extent cx="1232535" cy="857885"/>
          <wp:effectExtent l="0" t="0" r="5715" b="0"/>
          <wp:wrapThrough wrapText="bothSides">
            <wp:wrapPolygon edited="0">
              <wp:start x="4340" y="480"/>
              <wp:lineTo x="2003" y="2878"/>
              <wp:lineTo x="1669" y="9113"/>
              <wp:lineTo x="0" y="11511"/>
              <wp:lineTo x="0" y="18226"/>
              <wp:lineTo x="7345" y="20625"/>
              <wp:lineTo x="16359" y="20625"/>
              <wp:lineTo x="17026" y="19665"/>
              <wp:lineTo x="19029" y="17267"/>
              <wp:lineTo x="19029" y="16788"/>
              <wp:lineTo x="21366" y="10073"/>
              <wp:lineTo x="21366" y="2878"/>
              <wp:lineTo x="13020" y="480"/>
              <wp:lineTo x="4340" y="48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7843" t="-81" r="4902" b="81"/>
                  <a:stretch/>
                </pic:blipFill>
                <pic:spPr bwMode="auto">
                  <a:xfrm>
                    <a:off x="0" y="0"/>
                    <a:ext cx="1232535" cy="857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43C7B">
      <w:rPr>
        <w:color w:val="1F497D" w:themeColor="text2"/>
        <w:sz w:val="44"/>
      </w:rPr>
      <w:t>GMLC-OL Model Information Template</w:t>
    </w:r>
  </w:p>
  <w:p w:rsidR="00543C7B" w:rsidRPr="00543C7B" w:rsidRDefault="00543C7B" w:rsidP="00543C7B">
    <w:pPr>
      <w:tabs>
        <w:tab w:val="right" w:pos="9720"/>
      </w:tabs>
      <w:spacing w:after="0" w:line="240" w:lineRule="auto"/>
      <w:rPr>
        <w:sz w:val="36"/>
      </w:rPr>
    </w:pPr>
    <w:r w:rsidRPr="00543C7B">
      <w:rPr>
        <w:color w:val="1F497D" w:themeColor="text2"/>
        <w:sz w:val="32"/>
      </w:rPr>
      <w:t>Version 1.0</w:t>
    </w:r>
    <w:r>
      <w:rPr>
        <w:color w:val="1F497D" w:themeColor="text2"/>
        <w:sz w:val="32"/>
      </w:rPr>
      <w:t xml:space="preserve"> – May 2016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B7E73"/>
    <w:multiLevelType w:val="hybridMultilevel"/>
    <w:tmpl w:val="89CE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F2AC9"/>
    <w:multiLevelType w:val="hybridMultilevel"/>
    <w:tmpl w:val="2F4C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4E6F5C"/>
    <w:multiLevelType w:val="hybridMultilevel"/>
    <w:tmpl w:val="1F987A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F42"/>
    <w:rsid w:val="0008001B"/>
    <w:rsid w:val="000B13E8"/>
    <w:rsid w:val="000D0AD4"/>
    <w:rsid w:val="001758D0"/>
    <w:rsid w:val="001B7BC1"/>
    <w:rsid w:val="001D47AB"/>
    <w:rsid w:val="001F24A8"/>
    <w:rsid w:val="002270C4"/>
    <w:rsid w:val="0025762C"/>
    <w:rsid w:val="00331EBF"/>
    <w:rsid w:val="003340DA"/>
    <w:rsid w:val="00391078"/>
    <w:rsid w:val="004466D9"/>
    <w:rsid w:val="004C78AD"/>
    <w:rsid w:val="004E3BCC"/>
    <w:rsid w:val="004E3C76"/>
    <w:rsid w:val="00502517"/>
    <w:rsid w:val="00543C7B"/>
    <w:rsid w:val="0055650E"/>
    <w:rsid w:val="00576D81"/>
    <w:rsid w:val="005E20AB"/>
    <w:rsid w:val="005F0D24"/>
    <w:rsid w:val="006B033E"/>
    <w:rsid w:val="006B4501"/>
    <w:rsid w:val="00724F42"/>
    <w:rsid w:val="00804F06"/>
    <w:rsid w:val="00831B89"/>
    <w:rsid w:val="0083210C"/>
    <w:rsid w:val="008407F8"/>
    <w:rsid w:val="00847484"/>
    <w:rsid w:val="0085487C"/>
    <w:rsid w:val="008668BA"/>
    <w:rsid w:val="008B4A27"/>
    <w:rsid w:val="00AE0BDA"/>
    <w:rsid w:val="00B131AB"/>
    <w:rsid w:val="00BC1BB8"/>
    <w:rsid w:val="00C03EE8"/>
    <w:rsid w:val="00C04B51"/>
    <w:rsid w:val="00C47E7C"/>
    <w:rsid w:val="00D20DB9"/>
    <w:rsid w:val="00D54332"/>
    <w:rsid w:val="00D976D8"/>
    <w:rsid w:val="00DB55E2"/>
    <w:rsid w:val="00E46578"/>
    <w:rsid w:val="00F85121"/>
    <w:rsid w:val="00FD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251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02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517"/>
    <w:rPr>
      <w:rFonts w:ascii="Tahoma" w:hAnsi="Tahoma" w:cs="Tahoma"/>
      <w:sz w:val="16"/>
      <w:szCs w:val="16"/>
    </w:rPr>
  </w:style>
  <w:style w:type="paragraph" w:styleId="Header">
    <w:name w:val="header"/>
    <w:basedOn w:val="Normal"/>
    <w:link w:val="HeaderChar"/>
    <w:uiPriority w:val="99"/>
    <w:unhideWhenUsed/>
    <w:rsid w:val="00502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517"/>
  </w:style>
  <w:style w:type="paragraph" w:styleId="Footer">
    <w:name w:val="footer"/>
    <w:basedOn w:val="Normal"/>
    <w:link w:val="FooterChar"/>
    <w:uiPriority w:val="99"/>
    <w:unhideWhenUsed/>
    <w:rsid w:val="00502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517"/>
  </w:style>
  <w:style w:type="character" w:styleId="Strong">
    <w:name w:val="Strong"/>
    <w:basedOn w:val="DefaultParagraphFont"/>
    <w:uiPriority w:val="22"/>
    <w:qFormat/>
    <w:rsid w:val="00AE0BDA"/>
    <w:rPr>
      <w:b/>
      <w:bCs/>
    </w:rPr>
  </w:style>
  <w:style w:type="paragraph" w:styleId="ListParagraph">
    <w:name w:val="List Paragraph"/>
    <w:basedOn w:val="Normal"/>
    <w:uiPriority w:val="34"/>
    <w:qFormat/>
    <w:rsid w:val="00E46578"/>
    <w:pPr>
      <w:ind w:left="720"/>
      <w:contextualSpacing/>
    </w:pPr>
  </w:style>
  <w:style w:type="character" w:styleId="CommentReference">
    <w:name w:val="annotation reference"/>
    <w:basedOn w:val="DefaultParagraphFont"/>
    <w:uiPriority w:val="99"/>
    <w:semiHidden/>
    <w:unhideWhenUsed/>
    <w:rsid w:val="00E46578"/>
    <w:rPr>
      <w:sz w:val="16"/>
      <w:szCs w:val="16"/>
    </w:rPr>
  </w:style>
  <w:style w:type="paragraph" w:styleId="CommentText">
    <w:name w:val="annotation text"/>
    <w:basedOn w:val="Normal"/>
    <w:link w:val="CommentTextChar"/>
    <w:uiPriority w:val="99"/>
    <w:semiHidden/>
    <w:unhideWhenUsed/>
    <w:rsid w:val="00E46578"/>
    <w:pPr>
      <w:spacing w:line="240" w:lineRule="auto"/>
    </w:pPr>
    <w:rPr>
      <w:sz w:val="20"/>
      <w:szCs w:val="20"/>
    </w:rPr>
  </w:style>
  <w:style w:type="character" w:customStyle="1" w:styleId="CommentTextChar">
    <w:name w:val="Comment Text Char"/>
    <w:basedOn w:val="DefaultParagraphFont"/>
    <w:link w:val="CommentText"/>
    <w:uiPriority w:val="99"/>
    <w:semiHidden/>
    <w:rsid w:val="00E46578"/>
    <w:rPr>
      <w:sz w:val="20"/>
      <w:szCs w:val="20"/>
    </w:rPr>
  </w:style>
  <w:style w:type="paragraph" w:styleId="CommentSubject">
    <w:name w:val="annotation subject"/>
    <w:basedOn w:val="CommentText"/>
    <w:next w:val="CommentText"/>
    <w:link w:val="CommentSubjectChar"/>
    <w:uiPriority w:val="99"/>
    <w:semiHidden/>
    <w:unhideWhenUsed/>
    <w:rsid w:val="00E46578"/>
    <w:rPr>
      <w:b/>
      <w:bCs/>
    </w:rPr>
  </w:style>
  <w:style w:type="character" w:customStyle="1" w:styleId="CommentSubjectChar">
    <w:name w:val="Comment Subject Char"/>
    <w:basedOn w:val="CommentTextChar"/>
    <w:link w:val="CommentSubject"/>
    <w:uiPriority w:val="99"/>
    <w:semiHidden/>
    <w:rsid w:val="00E46578"/>
    <w:rPr>
      <w:b/>
      <w:bCs/>
      <w:sz w:val="20"/>
      <w:szCs w:val="20"/>
    </w:rPr>
  </w:style>
  <w:style w:type="paragraph" w:styleId="NormalWeb">
    <w:name w:val="Normal (Web)"/>
    <w:basedOn w:val="Normal"/>
    <w:uiPriority w:val="99"/>
    <w:semiHidden/>
    <w:unhideWhenUsed/>
    <w:rsid w:val="00B131A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251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02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517"/>
    <w:rPr>
      <w:rFonts w:ascii="Tahoma" w:hAnsi="Tahoma" w:cs="Tahoma"/>
      <w:sz w:val="16"/>
      <w:szCs w:val="16"/>
    </w:rPr>
  </w:style>
  <w:style w:type="paragraph" w:styleId="Header">
    <w:name w:val="header"/>
    <w:basedOn w:val="Normal"/>
    <w:link w:val="HeaderChar"/>
    <w:uiPriority w:val="99"/>
    <w:unhideWhenUsed/>
    <w:rsid w:val="00502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517"/>
  </w:style>
  <w:style w:type="paragraph" w:styleId="Footer">
    <w:name w:val="footer"/>
    <w:basedOn w:val="Normal"/>
    <w:link w:val="FooterChar"/>
    <w:uiPriority w:val="99"/>
    <w:unhideWhenUsed/>
    <w:rsid w:val="00502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517"/>
  </w:style>
  <w:style w:type="character" w:styleId="Strong">
    <w:name w:val="Strong"/>
    <w:basedOn w:val="DefaultParagraphFont"/>
    <w:uiPriority w:val="22"/>
    <w:qFormat/>
    <w:rsid w:val="00AE0BDA"/>
    <w:rPr>
      <w:b/>
      <w:bCs/>
    </w:rPr>
  </w:style>
  <w:style w:type="paragraph" w:styleId="ListParagraph">
    <w:name w:val="List Paragraph"/>
    <w:basedOn w:val="Normal"/>
    <w:uiPriority w:val="34"/>
    <w:qFormat/>
    <w:rsid w:val="00E46578"/>
    <w:pPr>
      <w:ind w:left="720"/>
      <w:contextualSpacing/>
    </w:pPr>
  </w:style>
  <w:style w:type="character" w:styleId="CommentReference">
    <w:name w:val="annotation reference"/>
    <w:basedOn w:val="DefaultParagraphFont"/>
    <w:uiPriority w:val="99"/>
    <w:semiHidden/>
    <w:unhideWhenUsed/>
    <w:rsid w:val="00E46578"/>
    <w:rPr>
      <w:sz w:val="16"/>
      <w:szCs w:val="16"/>
    </w:rPr>
  </w:style>
  <w:style w:type="paragraph" w:styleId="CommentText">
    <w:name w:val="annotation text"/>
    <w:basedOn w:val="Normal"/>
    <w:link w:val="CommentTextChar"/>
    <w:uiPriority w:val="99"/>
    <w:semiHidden/>
    <w:unhideWhenUsed/>
    <w:rsid w:val="00E46578"/>
    <w:pPr>
      <w:spacing w:line="240" w:lineRule="auto"/>
    </w:pPr>
    <w:rPr>
      <w:sz w:val="20"/>
      <w:szCs w:val="20"/>
    </w:rPr>
  </w:style>
  <w:style w:type="character" w:customStyle="1" w:styleId="CommentTextChar">
    <w:name w:val="Comment Text Char"/>
    <w:basedOn w:val="DefaultParagraphFont"/>
    <w:link w:val="CommentText"/>
    <w:uiPriority w:val="99"/>
    <w:semiHidden/>
    <w:rsid w:val="00E46578"/>
    <w:rPr>
      <w:sz w:val="20"/>
      <w:szCs w:val="20"/>
    </w:rPr>
  </w:style>
  <w:style w:type="paragraph" w:styleId="CommentSubject">
    <w:name w:val="annotation subject"/>
    <w:basedOn w:val="CommentText"/>
    <w:next w:val="CommentText"/>
    <w:link w:val="CommentSubjectChar"/>
    <w:uiPriority w:val="99"/>
    <w:semiHidden/>
    <w:unhideWhenUsed/>
    <w:rsid w:val="00E46578"/>
    <w:rPr>
      <w:b/>
      <w:bCs/>
    </w:rPr>
  </w:style>
  <w:style w:type="character" w:customStyle="1" w:styleId="CommentSubjectChar">
    <w:name w:val="Comment Subject Char"/>
    <w:basedOn w:val="CommentTextChar"/>
    <w:link w:val="CommentSubject"/>
    <w:uiPriority w:val="99"/>
    <w:semiHidden/>
    <w:rsid w:val="00E46578"/>
    <w:rPr>
      <w:b/>
      <w:bCs/>
      <w:sz w:val="20"/>
      <w:szCs w:val="20"/>
    </w:rPr>
  </w:style>
  <w:style w:type="paragraph" w:styleId="NormalWeb">
    <w:name w:val="Normal (Web)"/>
    <w:basedOn w:val="Normal"/>
    <w:uiPriority w:val="99"/>
    <w:semiHidden/>
    <w:unhideWhenUsed/>
    <w:rsid w:val="00B131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981343">
      <w:bodyDiv w:val="1"/>
      <w:marLeft w:val="0"/>
      <w:marRight w:val="0"/>
      <w:marTop w:val="0"/>
      <w:marBottom w:val="0"/>
      <w:divBdr>
        <w:top w:val="none" w:sz="0" w:space="0" w:color="auto"/>
        <w:left w:val="none" w:sz="0" w:space="0" w:color="auto"/>
        <w:bottom w:val="none" w:sz="0" w:space="0" w:color="auto"/>
        <w:right w:val="none" w:sz="0" w:space="0" w:color="auto"/>
      </w:divBdr>
    </w:div>
    <w:div w:id="210896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F0EB63F-E06D-493D-B597-835217761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Penner, Andrea M.</dc:creator>
  <cp:lastModifiedBy>Salcedo Ulerio, Reynaldo - 0773 - MITLL</cp:lastModifiedBy>
  <cp:revision>19</cp:revision>
  <dcterms:created xsi:type="dcterms:W3CDTF">2016-06-16T16:52:00Z</dcterms:created>
  <dcterms:modified xsi:type="dcterms:W3CDTF">2017-03-15T19:24:00Z</dcterms:modified>
</cp:coreProperties>
</file>