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Ind w:w="-7"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50"/>
        <w:gridCol w:w="1217"/>
        <w:gridCol w:w="1706"/>
        <w:gridCol w:w="1976"/>
        <w:gridCol w:w="825"/>
        <w:gridCol w:w="2702"/>
      </w:tblGrid>
      <w:tr w:rsidR="00D13DA3" w:rsidTr="00373D4F">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373D4F">
        <w:tc>
          <w:tcPr>
            <w:tcW w:w="5000" w:type="pct"/>
            <w:gridSpan w:val="6"/>
            <w:tcBorders>
              <w:top w:val="nil"/>
              <w:bottom w:val="nil"/>
            </w:tcBorders>
            <w:shd w:val="clear" w:color="auto" w:fill="CCCCCC"/>
          </w:tcPr>
          <w:p w:rsidR="00D13DA3" w:rsidRPr="00FF6728" w:rsidRDefault="00A543EE" w:rsidP="007129D9">
            <w:pPr>
              <w:pStyle w:val="policytitle"/>
            </w:pPr>
            <w:r>
              <w:t>Information Security Organization</w:t>
            </w:r>
          </w:p>
        </w:tc>
      </w:tr>
      <w:tr w:rsidR="00223F4C" w:rsidTr="00373D4F">
        <w:tc>
          <w:tcPr>
            <w:tcW w:w="600" w:type="pct"/>
            <w:tcBorders>
              <w:top w:val="nil"/>
            </w:tcBorders>
            <w:shd w:val="clear" w:color="auto" w:fill="auto"/>
            <w:tcMar>
              <w:top w:w="29" w:type="dxa"/>
              <w:left w:w="115" w:type="dxa"/>
              <w:bottom w:w="29" w:type="dxa"/>
              <w:right w:w="115" w:type="dxa"/>
            </w:tcMar>
          </w:tcPr>
          <w:p w:rsidR="00223F4C" w:rsidRDefault="00223F4C" w:rsidP="002B50C6">
            <w:pPr>
              <w:pStyle w:val="PolicyHeaderLabel"/>
            </w:pPr>
            <w:r>
              <w:t>Policy #</w:t>
            </w:r>
          </w:p>
        </w:tc>
        <w:tc>
          <w:tcPr>
            <w:tcW w:w="635" w:type="pct"/>
            <w:tcBorders>
              <w:top w:val="nil"/>
            </w:tcBorders>
            <w:shd w:val="clear" w:color="auto" w:fill="auto"/>
            <w:tcMar>
              <w:top w:w="29" w:type="dxa"/>
              <w:left w:w="115" w:type="dxa"/>
              <w:bottom w:w="29" w:type="dxa"/>
              <w:right w:w="115" w:type="dxa"/>
            </w:tcMar>
          </w:tcPr>
          <w:p w:rsidR="00223F4C" w:rsidRDefault="00080331" w:rsidP="00074BA0">
            <w:pPr>
              <w:pStyle w:val="PolicyHeaderFill"/>
            </w:pPr>
            <w:r>
              <w:t>CPL-03-02</w:t>
            </w:r>
          </w:p>
        </w:tc>
        <w:tc>
          <w:tcPr>
            <w:tcW w:w="891" w:type="pct"/>
            <w:tcBorders>
              <w:top w:val="nil"/>
            </w:tcBorders>
            <w:shd w:val="clear" w:color="auto" w:fill="auto"/>
            <w:tcMar>
              <w:top w:w="29" w:type="dxa"/>
              <w:left w:w="115" w:type="dxa"/>
              <w:bottom w:w="29" w:type="dxa"/>
              <w:right w:w="115" w:type="dxa"/>
            </w:tcMar>
          </w:tcPr>
          <w:p w:rsidR="00223F4C" w:rsidRDefault="00223F4C" w:rsidP="002B50C6">
            <w:pPr>
              <w:pStyle w:val="PolicyHeaderLabel"/>
            </w:pPr>
            <w:r>
              <w:t>Effective Date</w:t>
            </w:r>
          </w:p>
        </w:tc>
        <w:tc>
          <w:tcPr>
            <w:tcW w:w="1032" w:type="pct"/>
            <w:tcBorders>
              <w:top w:val="nil"/>
            </w:tcBorders>
            <w:shd w:val="clear" w:color="auto" w:fill="auto"/>
            <w:tcMar>
              <w:top w:w="29" w:type="dxa"/>
              <w:left w:w="115" w:type="dxa"/>
              <w:bottom w:w="29" w:type="dxa"/>
              <w:right w:w="115" w:type="dxa"/>
            </w:tcMar>
          </w:tcPr>
          <w:p w:rsidR="00223F4C" w:rsidRPr="00C8024C" w:rsidRDefault="00F97213" w:rsidP="00F00F60">
            <w:pPr>
              <w:pStyle w:val="PolicyHeaderFill"/>
            </w:pPr>
            <w:r>
              <w:t>MM/DD/YYYY</w:t>
            </w:r>
          </w:p>
        </w:tc>
        <w:tc>
          <w:tcPr>
            <w:tcW w:w="431" w:type="pct"/>
            <w:tcBorders>
              <w:top w:val="nil"/>
            </w:tcBorders>
            <w:shd w:val="clear" w:color="auto" w:fill="auto"/>
            <w:tcMar>
              <w:top w:w="29" w:type="dxa"/>
              <w:left w:w="115" w:type="dxa"/>
              <w:bottom w:w="29" w:type="dxa"/>
              <w:right w:w="115" w:type="dxa"/>
            </w:tcMar>
          </w:tcPr>
          <w:p w:rsidR="00223F4C" w:rsidRPr="00C8024C" w:rsidRDefault="00223F4C" w:rsidP="00F00F60">
            <w:pPr>
              <w:pStyle w:val="PolicyHeaderLabel"/>
            </w:pPr>
            <w:r w:rsidRPr="00C8024C">
              <w:t>Email</w:t>
            </w:r>
          </w:p>
        </w:tc>
        <w:tc>
          <w:tcPr>
            <w:tcW w:w="1411" w:type="pct"/>
            <w:tcBorders>
              <w:top w:val="nil"/>
            </w:tcBorders>
            <w:shd w:val="clear" w:color="auto" w:fill="auto"/>
            <w:tcMar>
              <w:top w:w="29" w:type="dxa"/>
              <w:left w:w="115" w:type="dxa"/>
              <w:bottom w:w="29" w:type="dxa"/>
              <w:right w:w="115" w:type="dxa"/>
            </w:tcMar>
          </w:tcPr>
          <w:p w:rsidR="00223F4C" w:rsidRPr="00C8024C" w:rsidRDefault="00223F4C" w:rsidP="00F00F60">
            <w:pPr>
              <w:pStyle w:val="PolicyHeaderFill"/>
            </w:pPr>
            <w:r w:rsidRPr="00C8024C">
              <w:t>policy@companyx.com</w:t>
            </w:r>
          </w:p>
        </w:tc>
      </w:tr>
      <w:tr w:rsidR="00223F4C" w:rsidTr="00373D4F">
        <w:tc>
          <w:tcPr>
            <w:tcW w:w="600" w:type="pct"/>
            <w:shd w:val="clear" w:color="auto" w:fill="auto"/>
            <w:tcMar>
              <w:top w:w="29" w:type="dxa"/>
              <w:left w:w="115" w:type="dxa"/>
              <w:bottom w:w="29" w:type="dxa"/>
              <w:right w:w="115" w:type="dxa"/>
            </w:tcMar>
          </w:tcPr>
          <w:p w:rsidR="00223F4C" w:rsidRDefault="00223F4C" w:rsidP="002B50C6">
            <w:pPr>
              <w:pStyle w:val="PolicyHeaderLabel"/>
            </w:pPr>
            <w:r>
              <w:t>Version</w:t>
            </w:r>
          </w:p>
        </w:tc>
        <w:tc>
          <w:tcPr>
            <w:tcW w:w="635" w:type="pct"/>
            <w:shd w:val="clear" w:color="auto" w:fill="auto"/>
            <w:tcMar>
              <w:top w:w="29" w:type="dxa"/>
              <w:left w:w="115" w:type="dxa"/>
              <w:bottom w:w="29" w:type="dxa"/>
              <w:right w:w="115" w:type="dxa"/>
            </w:tcMar>
          </w:tcPr>
          <w:p w:rsidR="00223F4C" w:rsidRDefault="00223F4C" w:rsidP="002B50C6">
            <w:pPr>
              <w:pStyle w:val="PolicyHeaderFill"/>
            </w:pPr>
            <w:r>
              <w:t>1.0</w:t>
            </w:r>
          </w:p>
        </w:tc>
        <w:tc>
          <w:tcPr>
            <w:tcW w:w="891" w:type="pct"/>
            <w:shd w:val="clear" w:color="auto" w:fill="auto"/>
            <w:tcMar>
              <w:top w:w="29" w:type="dxa"/>
              <w:left w:w="115" w:type="dxa"/>
              <w:bottom w:w="29" w:type="dxa"/>
              <w:right w:w="115" w:type="dxa"/>
            </w:tcMar>
          </w:tcPr>
          <w:p w:rsidR="00223F4C" w:rsidRDefault="00223F4C" w:rsidP="002B50C6">
            <w:pPr>
              <w:pStyle w:val="PolicyHeaderLabel"/>
            </w:pPr>
            <w:r>
              <w:t xml:space="preserve">Contact </w:t>
            </w:r>
          </w:p>
        </w:tc>
        <w:tc>
          <w:tcPr>
            <w:tcW w:w="1032" w:type="pct"/>
            <w:shd w:val="clear" w:color="auto" w:fill="auto"/>
            <w:tcMar>
              <w:top w:w="29" w:type="dxa"/>
              <w:left w:w="115" w:type="dxa"/>
              <w:bottom w:w="29" w:type="dxa"/>
              <w:right w:w="115" w:type="dxa"/>
            </w:tcMar>
          </w:tcPr>
          <w:p w:rsidR="00223F4C" w:rsidRPr="00C8024C" w:rsidRDefault="00223F4C" w:rsidP="00F00F60">
            <w:pPr>
              <w:pStyle w:val="PolicyHeaderFill"/>
            </w:pPr>
            <w:r w:rsidRPr="00C8024C">
              <w:t>Policy Contact</w:t>
            </w:r>
          </w:p>
        </w:tc>
        <w:tc>
          <w:tcPr>
            <w:tcW w:w="431" w:type="pct"/>
            <w:shd w:val="clear" w:color="auto" w:fill="auto"/>
            <w:tcMar>
              <w:top w:w="29" w:type="dxa"/>
              <w:left w:w="115" w:type="dxa"/>
              <w:bottom w:w="29" w:type="dxa"/>
              <w:right w:w="115" w:type="dxa"/>
            </w:tcMar>
          </w:tcPr>
          <w:p w:rsidR="00223F4C" w:rsidRPr="00C8024C" w:rsidRDefault="00223F4C" w:rsidP="00F00F60">
            <w:pPr>
              <w:pStyle w:val="PolicyHeaderLabel"/>
            </w:pPr>
            <w:r w:rsidRPr="00C8024C">
              <w:t>Phone</w:t>
            </w:r>
          </w:p>
        </w:tc>
        <w:tc>
          <w:tcPr>
            <w:tcW w:w="1411" w:type="pct"/>
            <w:shd w:val="clear" w:color="auto" w:fill="auto"/>
            <w:tcMar>
              <w:top w:w="29" w:type="dxa"/>
              <w:left w:w="115" w:type="dxa"/>
              <w:bottom w:w="29" w:type="dxa"/>
              <w:right w:w="115" w:type="dxa"/>
            </w:tcMar>
          </w:tcPr>
          <w:p w:rsidR="00223F4C" w:rsidRPr="00C8024C" w:rsidRDefault="00F97213" w:rsidP="00F00F60">
            <w:pPr>
              <w:pStyle w:val="PolicyHeaderFill"/>
            </w:pPr>
            <w:r>
              <w:t>888-641-</w:t>
            </w:r>
            <w:r w:rsidR="00223F4C" w:rsidRPr="00C8024C">
              <w:t>0500</w:t>
            </w:r>
          </w:p>
        </w:tc>
      </w:tr>
    </w:tbl>
    <w:p w:rsidR="00C773C6" w:rsidRDefault="00C773C6" w:rsidP="00C91FBB">
      <w:pPr>
        <w:pStyle w:val="TOC1"/>
        <w:spacing w:before="120" w:after="120"/>
        <w:rPr>
          <w:b/>
          <w:bCs/>
          <w:color w:val="00527A"/>
          <w:sz w:val="24"/>
        </w:rPr>
      </w:pPr>
    </w:p>
    <w:p w:rsidR="00DD0B04" w:rsidRPr="00C91FBB" w:rsidRDefault="00DD0B04" w:rsidP="00C91FBB">
      <w:pPr>
        <w:pStyle w:val="TOC1"/>
        <w:spacing w:before="120" w:after="120"/>
        <w:rPr>
          <w:b/>
          <w:bCs/>
          <w:color w:val="00527A"/>
          <w:sz w:val="24"/>
        </w:rPr>
      </w:pPr>
      <w:bookmarkStart w:id="0" w:name="_GoBack"/>
      <w:bookmarkEnd w:id="0"/>
      <w:r w:rsidRPr="00C91FBB">
        <w:rPr>
          <w:b/>
          <w:bCs/>
          <w:color w:val="00527A"/>
          <w:sz w:val="24"/>
        </w:rPr>
        <w:t>Table of Content</w:t>
      </w:r>
    </w:p>
    <w:p w:rsidR="00AC14B3" w:rsidRPr="00A321F6" w:rsidRDefault="006374A6">
      <w:pPr>
        <w:pStyle w:val="TOC1"/>
        <w:rPr>
          <w:rFonts w:ascii="Calibri" w:hAnsi="Calibri"/>
          <w:noProof/>
          <w:szCs w:val="22"/>
        </w:rPr>
      </w:pPr>
      <w:r>
        <w:fldChar w:fldCharType="begin"/>
      </w:r>
      <w:r w:rsidR="00C91FBB">
        <w:instrText xml:space="preserve"> TOC \o "1-1" \h \z \u \t "Heading 3,2" </w:instrText>
      </w:r>
      <w:r>
        <w:fldChar w:fldCharType="separate"/>
      </w:r>
      <w:hyperlink w:anchor="_Toc457915162" w:history="1">
        <w:r w:rsidR="00AC14B3" w:rsidRPr="00BE3976">
          <w:rPr>
            <w:rStyle w:val="Hyperlink"/>
            <w:bCs/>
            <w:noProof/>
          </w:rPr>
          <w:t>Purpose</w:t>
        </w:r>
        <w:r w:rsidR="00AC14B3">
          <w:rPr>
            <w:noProof/>
            <w:webHidden/>
          </w:rPr>
          <w:tab/>
        </w:r>
        <w:r w:rsidR="00AC14B3">
          <w:rPr>
            <w:noProof/>
            <w:webHidden/>
          </w:rPr>
          <w:fldChar w:fldCharType="begin"/>
        </w:r>
        <w:r w:rsidR="00AC14B3">
          <w:rPr>
            <w:noProof/>
            <w:webHidden/>
          </w:rPr>
          <w:instrText xml:space="preserve"> PAGEREF _Toc457915162 \h </w:instrText>
        </w:r>
        <w:r w:rsidR="00AC14B3">
          <w:rPr>
            <w:noProof/>
            <w:webHidden/>
          </w:rPr>
        </w:r>
        <w:r w:rsidR="00AC14B3">
          <w:rPr>
            <w:noProof/>
            <w:webHidden/>
          </w:rPr>
          <w:fldChar w:fldCharType="separate"/>
        </w:r>
        <w:r w:rsidR="00AC14B3">
          <w:rPr>
            <w:noProof/>
            <w:webHidden/>
          </w:rPr>
          <w:t>1</w:t>
        </w:r>
        <w:r w:rsidR="00AC14B3">
          <w:rPr>
            <w:noProof/>
            <w:webHidden/>
          </w:rPr>
          <w:fldChar w:fldCharType="end"/>
        </w:r>
      </w:hyperlink>
    </w:p>
    <w:p w:rsidR="00AC14B3" w:rsidRPr="00A321F6" w:rsidRDefault="00DA2FBB">
      <w:pPr>
        <w:pStyle w:val="TOC1"/>
        <w:rPr>
          <w:rFonts w:ascii="Calibri" w:hAnsi="Calibri"/>
          <w:noProof/>
          <w:szCs w:val="22"/>
        </w:rPr>
      </w:pPr>
      <w:hyperlink w:anchor="_Toc457915163" w:history="1">
        <w:r w:rsidR="00AC14B3" w:rsidRPr="00BE3976">
          <w:rPr>
            <w:rStyle w:val="Hyperlink"/>
            <w:bCs/>
            <w:noProof/>
          </w:rPr>
          <w:t>Scope</w:t>
        </w:r>
        <w:r w:rsidR="00AC14B3">
          <w:rPr>
            <w:noProof/>
            <w:webHidden/>
          </w:rPr>
          <w:tab/>
        </w:r>
        <w:r w:rsidR="00AC14B3">
          <w:rPr>
            <w:noProof/>
            <w:webHidden/>
          </w:rPr>
          <w:fldChar w:fldCharType="begin"/>
        </w:r>
        <w:r w:rsidR="00AC14B3">
          <w:rPr>
            <w:noProof/>
            <w:webHidden/>
          </w:rPr>
          <w:instrText xml:space="preserve"> PAGEREF _Toc457915163 \h </w:instrText>
        </w:r>
        <w:r w:rsidR="00AC14B3">
          <w:rPr>
            <w:noProof/>
            <w:webHidden/>
          </w:rPr>
        </w:r>
        <w:r w:rsidR="00AC14B3">
          <w:rPr>
            <w:noProof/>
            <w:webHidden/>
          </w:rPr>
          <w:fldChar w:fldCharType="separate"/>
        </w:r>
        <w:r w:rsidR="00AC14B3">
          <w:rPr>
            <w:noProof/>
            <w:webHidden/>
          </w:rPr>
          <w:t>1</w:t>
        </w:r>
        <w:r w:rsidR="00AC14B3">
          <w:rPr>
            <w:noProof/>
            <w:webHidden/>
          </w:rPr>
          <w:fldChar w:fldCharType="end"/>
        </w:r>
      </w:hyperlink>
    </w:p>
    <w:p w:rsidR="00AC14B3" w:rsidRPr="00A321F6" w:rsidRDefault="00DA2FBB">
      <w:pPr>
        <w:pStyle w:val="TOC1"/>
        <w:rPr>
          <w:rFonts w:ascii="Calibri" w:hAnsi="Calibri"/>
          <w:noProof/>
          <w:szCs w:val="22"/>
        </w:rPr>
      </w:pPr>
      <w:hyperlink w:anchor="_Toc457915164" w:history="1">
        <w:r w:rsidR="00AC14B3" w:rsidRPr="00BE3976">
          <w:rPr>
            <w:rStyle w:val="Hyperlink"/>
            <w:bCs/>
            <w:noProof/>
          </w:rPr>
          <w:t>Policy</w:t>
        </w:r>
        <w:r w:rsidR="00AC14B3">
          <w:rPr>
            <w:noProof/>
            <w:webHidden/>
          </w:rPr>
          <w:tab/>
        </w:r>
        <w:r w:rsidR="00AC14B3">
          <w:rPr>
            <w:noProof/>
            <w:webHidden/>
          </w:rPr>
          <w:fldChar w:fldCharType="begin"/>
        </w:r>
        <w:r w:rsidR="00AC14B3">
          <w:rPr>
            <w:noProof/>
            <w:webHidden/>
          </w:rPr>
          <w:instrText xml:space="preserve"> PAGEREF _Toc457915164 \h </w:instrText>
        </w:r>
        <w:r w:rsidR="00AC14B3">
          <w:rPr>
            <w:noProof/>
            <w:webHidden/>
          </w:rPr>
        </w:r>
        <w:r w:rsidR="00AC14B3">
          <w:rPr>
            <w:noProof/>
            <w:webHidden/>
          </w:rPr>
          <w:fldChar w:fldCharType="separate"/>
        </w:r>
        <w:r w:rsidR="00AC14B3">
          <w:rPr>
            <w:noProof/>
            <w:webHidden/>
          </w:rPr>
          <w:t>1</w:t>
        </w:r>
        <w:r w:rsidR="00AC14B3">
          <w:rPr>
            <w:noProof/>
            <w:webHidden/>
          </w:rPr>
          <w:fldChar w:fldCharType="end"/>
        </w:r>
      </w:hyperlink>
    </w:p>
    <w:p w:rsidR="00AC14B3" w:rsidRPr="00A321F6" w:rsidRDefault="00DA2FBB">
      <w:pPr>
        <w:pStyle w:val="TOC2"/>
        <w:tabs>
          <w:tab w:val="right" w:leader="dot" w:pos="9350"/>
        </w:tabs>
        <w:rPr>
          <w:rFonts w:ascii="Calibri" w:hAnsi="Calibri"/>
          <w:noProof/>
          <w:szCs w:val="22"/>
        </w:rPr>
      </w:pPr>
      <w:hyperlink w:anchor="_Toc457915165" w:history="1">
        <w:r w:rsidR="00AC14B3" w:rsidRPr="00BE3976">
          <w:rPr>
            <w:rStyle w:val="Hyperlink"/>
            <w:noProof/>
          </w:rPr>
          <w:t>Management Commitment to Information Security</w:t>
        </w:r>
        <w:r w:rsidR="00AC14B3">
          <w:rPr>
            <w:noProof/>
            <w:webHidden/>
          </w:rPr>
          <w:tab/>
        </w:r>
        <w:r w:rsidR="00AC14B3">
          <w:rPr>
            <w:noProof/>
            <w:webHidden/>
          </w:rPr>
          <w:fldChar w:fldCharType="begin"/>
        </w:r>
        <w:r w:rsidR="00AC14B3">
          <w:rPr>
            <w:noProof/>
            <w:webHidden/>
          </w:rPr>
          <w:instrText xml:space="preserve"> PAGEREF _Toc457915165 \h </w:instrText>
        </w:r>
        <w:r w:rsidR="00AC14B3">
          <w:rPr>
            <w:noProof/>
            <w:webHidden/>
          </w:rPr>
        </w:r>
        <w:r w:rsidR="00AC14B3">
          <w:rPr>
            <w:noProof/>
            <w:webHidden/>
          </w:rPr>
          <w:fldChar w:fldCharType="separate"/>
        </w:r>
        <w:r w:rsidR="00AC14B3">
          <w:rPr>
            <w:noProof/>
            <w:webHidden/>
          </w:rPr>
          <w:t>1</w:t>
        </w:r>
        <w:r w:rsidR="00AC14B3">
          <w:rPr>
            <w:noProof/>
            <w:webHidden/>
          </w:rPr>
          <w:fldChar w:fldCharType="end"/>
        </w:r>
      </w:hyperlink>
    </w:p>
    <w:p w:rsidR="00AC14B3" w:rsidRPr="00A321F6" w:rsidRDefault="00DA2FBB">
      <w:pPr>
        <w:pStyle w:val="TOC2"/>
        <w:tabs>
          <w:tab w:val="right" w:leader="dot" w:pos="9350"/>
        </w:tabs>
        <w:rPr>
          <w:rFonts w:ascii="Calibri" w:hAnsi="Calibri"/>
          <w:noProof/>
          <w:szCs w:val="22"/>
        </w:rPr>
      </w:pPr>
      <w:hyperlink w:anchor="_Toc457915166" w:history="1">
        <w:r w:rsidR="00AC14B3" w:rsidRPr="00BE3976">
          <w:rPr>
            <w:rStyle w:val="Hyperlink"/>
            <w:noProof/>
          </w:rPr>
          <w:t>Information Security Planning</w:t>
        </w:r>
        <w:r w:rsidR="00AC14B3">
          <w:rPr>
            <w:noProof/>
            <w:webHidden/>
          </w:rPr>
          <w:tab/>
        </w:r>
        <w:r w:rsidR="00AC14B3">
          <w:rPr>
            <w:noProof/>
            <w:webHidden/>
          </w:rPr>
          <w:fldChar w:fldCharType="begin"/>
        </w:r>
        <w:r w:rsidR="00AC14B3">
          <w:rPr>
            <w:noProof/>
            <w:webHidden/>
          </w:rPr>
          <w:instrText xml:space="preserve"> PAGEREF _Toc457915166 \h </w:instrText>
        </w:r>
        <w:r w:rsidR="00AC14B3">
          <w:rPr>
            <w:noProof/>
            <w:webHidden/>
          </w:rPr>
        </w:r>
        <w:r w:rsidR="00AC14B3">
          <w:rPr>
            <w:noProof/>
            <w:webHidden/>
          </w:rPr>
          <w:fldChar w:fldCharType="separate"/>
        </w:r>
        <w:r w:rsidR="00AC14B3">
          <w:rPr>
            <w:noProof/>
            <w:webHidden/>
          </w:rPr>
          <w:t>2</w:t>
        </w:r>
        <w:r w:rsidR="00AC14B3">
          <w:rPr>
            <w:noProof/>
            <w:webHidden/>
          </w:rPr>
          <w:fldChar w:fldCharType="end"/>
        </w:r>
      </w:hyperlink>
    </w:p>
    <w:p w:rsidR="00AC14B3" w:rsidRPr="00A321F6" w:rsidRDefault="00DA2FBB">
      <w:pPr>
        <w:pStyle w:val="TOC2"/>
        <w:tabs>
          <w:tab w:val="right" w:leader="dot" w:pos="9350"/>
        </w:tabs>
        <w:rPr>
          <w:rFonts w:ascii="Calibri" w:hAnsi="Calibri"/>
          <w:noProof/>
          <w:szCs w:val="22"/>
        </w:rPr>
      </w:pPr>
      <w:hyperlink w:anchor="_Toc457915167" w:history="1">
        <w:r w:rsidR="00AC14B3" w:rsidRPr="00BE3976">
          <w:rPr>
            <w:rStyle w:val="Hyperlink"/>
            <w:noProof/>
          </w:rPr>
          <w:t>Information Security Responsibility Assignment</w:t>
        </w:r>
        <w:r w:rsidR="00AC14B3">
          <w:rPr>
            <w:noProof/>
            <w:webHidden/>
          </w:rPr>
          <w:tab/>
        </w:r>
        <w:r w:rsidR="00AC14B3">
          <w:rPr>
            <w:noProof/>
            <w:webHidden/>
          </w:rPr>
          <w:fldChar w:fldCharType="begin"/>
        </w:r>
        <w:r w:rsidR="00AC14B3">
          <w:rPr>
            <w:noProof/>
            <w:webHidden/>
          </w:rPr>
          <w:instrText xml:space="preserve"> PAGEREF _Toc457915167 \h </w:instrText>
        </w:r>
        <w:r w:rsidR="00AC14B3">
          <w:rPr>
            <w:noProof/>
            <w:webHidden/>
          </w:rPr>
        </w:r>
        <w:r w:rsidR="00AC14B3">
          <w:rPr>
            <w:noProof/>
            <w:webHidden/>
          </w:rPr>
          <w:fldChar w:fldCharType="separate"/>
        </w:r>
        <w:r w:rsidR="00AC14B3">
          <w:rPr>
            <w:noProof/>
            <w:webHidden/>
          </w:rPr>
          <w:t>2</w:t>
        </w:r>
        <w:r w:rsidR="00AC14B3">
          <w:rPr>
            <w:noProof/>
            <w:webHidden/>
          </w:rPr>
          <w:fldChar w:fldCharType="end"/>
        </w:r>
      </w:hyperlink>
    </w:p>
    <w:p w:rsidR="00AC14B3" w:rsidRPr="00A321F6" w:rsidRDefault="00DA2FBB">
      <w:pPr>
        <w:pStyle w:val="TOC2"/>
        <w:tabs>
          <w:tab w:val="right" w:leader="dot" w:pos="9350"/>
        </w:tabs>
        <w:rPr>
          <w:rFonts w:ascii="Calibri" w:hAnsi="Calibri"/>
          <w:noProof/>
          <w:szCs w:val="22"/>
        </w:rPr>
      </w:pPr>
      <w:hyperlink w:anchor="_Toc457915168" w:history="1">
        <w:r w:rsidR="00AC14B3" w:rsidRPr="00BE3976">
          <w:rPr>
            <w:rStyle w:val="Hyperlink"/>
            <w:noProof/>
          </w:rPr>
          <w:t>Department Responsibilities</w:t>
        </w:r>
        <w:r w:rsidR="00AC14B3">
          <w:rPr>
            <w:noProof/>
            <w:webHidden/>
          </w:rPr>
          <w:tab/>
        </w:r>
        <w:r w:rsidR="00AC14B3">
          <w:rPr>
            <w:noProof/>
            <w:webHidden/>
          </w:rPr>
          <w:fldChar w:fldCharType="begin"/>
        </w:r>
        <w:r w:rsidR="00AC14B3">
          <w:rPr>
            <w:noProof/>
            <w:webHidden/>
          </w:rPr>
          <w:instrText xml:space="preserve"> PAGEREF _Toc457915168 \h </w:instrText>
        </w:r>
        <w:r w:rsidR="00AC14B3">
          <w:rPr>
            <w:noProof/>
            <w:webHidden/>
          </w:rPr>
        </w:r>
        <w:r w:rsidR="00AC14B3">
          <w:rPr>
            <w:noProof/>
            <w:webHidden/>
          </w:rPr>
          <w:fldChar w:fldCharType="separate"/>
        </w:r>
        <w:r w:rsidR="00AC14B3">
          <w:rPr>
            <w:noProof/>
            <w:webHidden/>
          </w:rPr>
          <w:t>2</w:t>
        </w:r>
        <w:r w:rsidR="00AC14B3">
          <w:rPr>
            <w:noProof/>
            <w:webHidden/>
          </w:rPr>
          <w:fldChar w:fldCharType="end"/>
        </w:r>
      </w:hyperlink>
    </w:p>
    <w:p w:rsidR="00AC14B3" w:rsidRPr="00A321F6" w:rsidRDefault="00DA2FBB">
      <w:pPr>
        <w:pStyle w:val="TOC2"/>
        <w:tabs>
          <w:tab w:val="right" w:leader="dot" w:pos="9350"/>
        </w:tabs>
        <w:rPr>
          <w:rFonts w:ascii="Calibri" w:hAnsi="Calibri"/>
          <w:noProof/>
          <w:szCs w:val="22"/>
        </w:rPr>
      </w:pPr>
      <w:hyperlink w:anchor="_Toc457915169" w:history="1">
        <w:r w:rsidR="00AC14B3" w:rsidRPr="00BE3976">
          <w:rPr>
            <w:rStyle w:val="Hyperlink"/>
            <w:noProof/>
          </w:rPr>
          <w:t>Contact with Authorities</w:t>
        </w:r>
        <w:r w:rsidR="00AC14B3">
          <w:rPr>
            <w:noProof/>
            <w:webHidden/>
          </w:rPr>
          <w:tab/>
        </w:r>
        <w:r w:rsidR="00AC14B3">
          <w:rPr>
            <w:noProof/>
            <w:webHidden/>
          </w:rPr>
          <w:fldChar w:fldCharType="begin"/>
        </w:r>
        <w:r w:rsidR="00AC14B3">
          <w:rPr>
            <w:noProof/>
            <w:webHidden/>
          </w:rPr>
          <w:instrText xml:space="preserve"> PAGEREF _Toc457915169 \h </w:instrText>
        </w:r>
        <w:r w:rsidR="00AC14B3">
          <w:rPr>
            <w:noProof/>
            <w:webHidden/>
          </w:rPr>
        </w:r>
        <w:r w:rsidR="00AC14B3">
          <w:rPr>
            <w:noProof/>
            <w:webHidden/>
          </w:rPr>
          <w:fldChar w:fldCharType="separate"/>
        </w:r>
        <w:r w:rsidR="00AC14B3">
          <w:rPr>
            <w:noProof/>
            <w:webHidden/>
          </w:rPr>
          <w:t>3</w:t>
        </w:r>
        <w:r w:rsidR="00AC14B3">
          <w:rPr>
            <w:noProof/>
            <w:webHidden/>
          </w:rPr>
          <w:fldChar w:fldCharType="end"/>
        </w:r>
      </w:hyperlink>
    </w:p>
    <w:p w:rsidR="00AC14B3" w:rsidRPr="00A321F6" w:rsidRDefault="00DA2FBB">
      <w:pPr>
        <w:pStyle w:val="TOC2"/>
        <w:tabs>
          <w:tab w:val="right" w:leader="dot" w:pos="9350"/>
        </w:tabs>
        <w:rPr>
          <w:rFonts w:ascii="Calibri" w:hAnsi="Calibri"/>
          <w:noProof/>
          <w:szCs w:val="22"/>
        </w:rPr>
      </w:pPr>
      <w:hyperlink w:anchor="_Toc457915170" w:history="1">
        <w:r w:rsidR="00AC14B3" w:rsidRPr="00BE3976">
          <w:rPr>
            <w:rStyle w:val="Hyperlink"/>
            <w:noProof/>
          </w:rPr>
          <w:t>Contact with Special Interest Groups</w:t>
        </w:r>
        <w:r w:rsidR="00AC14B3">
          <w:rPr>
            <w:noProof/>
            <w:webHidden/>
          </w:rPr>
          <w:tab/>
        </w:r>
        <w:r w:rsidR="00AC14B3">
          <w:rPr>
            <w:noProof/>
            <w:webHidden/>
          </w:rPr>
          <w:fldChar w:fldCharType="begin"/>
        </w:r>
        <w:r w:rsidR="00AC14B3">
          <w:rPr>
            <w:noProof/>
            <w:webHidden/>
          </w:rPr>
          <w:instrText xml:space="preserve"> PAGEREF _Toc457915170 \h </w:instrText>
        </w:r>
        <w:r w:rsidR="00AC14B3">
          <w:rPr>
            <w:noProof/>
            <w:webHidden/>
          </w:rPr>
        </w:r>
        <w:r w:rsidR="00AC14B3">
          <w:rPr>
            <w:noProof/>
            <w:webHidden/>
          </w:rPr>
          <w:fldChar w:fldCharType="separate"/>
        </w:r>
        <w:r w:rsidR="00AC14B3">
          <w:rPr>
            <w:noProof/>
            <w:webHidden/>
          </w:rPr>
          <w:t>3</w:t>
        </w:r>
        <w:r w:rsidR="00AC14B3">
          <w:rPr>
            <w:noProof/>
            <w:webHidden/>
          </w:rPr>
          <w:fldChar w:fldCharType="end"/>
        </w:r>
      </w:hyperlink>
    </w:p>
    <w:p w:rsidR="00AC14B3" w:rsidRPr="00A321F6" w:rsidRDefault="00DA2FBB">
      <w:pPr>
        <w:pStyle w:val="TOC2"/>
        <w:tabs>
          <w:tab w:val="right" w:leader="dot" w:pos="9350"/>
        </w:tabs>
        <w:rPr>
          <w:rFonts w:ascii="Calibri" w:hAnsi="Calibri"/>
          <w:noProof/>
          <w:szCs w:val="22"/>
        </w:rPr>
      </w:pPr>
      <w:hyperlink w:anchor="_Toc457915171" w:history="1">
        <w:r w:rsidR="00AC14B3" w:rsidRPr="00BE3976">
          <w:rPr>
            <w:rStyle w:val="Hyperlink"/>
            <w:noProof/>
          </w:rPr>
          <w:t>Employee Information Security Roles</w:t>
        </w:r>
        <w:r w:rsidR="00AC14B3">
          <w:rPr>
            <w:noProof/>
            <w:webHidden/>
          </w:rPr>
          <w:tab/>
        </w:r>
        <w:r w:rsidR="00AC14B3">
          <w:rPr>
            <w:noProof/>
            <w:webHidden/>
          </w:rPr>
          <w:fldChar w:fldCharType="begin"/>
        </w:r>
        <w:r w:rsidR="00AC14B3">
          <w:rPr>
            <w:noProof/>
            <w:webHidden/>
          </w:rPr>
          <w:instrText xml:space="preserve"> PAGEREF _Toc457915171 \h </w:instrText>
        </w:r>
        <w:r w:rsidR="00AC14B3">
          <w:rPr>
            <w:noProof/>
            <w:webHidden/>
          </w:rPr>
        </w:r>
        <w:r w:rsidR="00AC14B3">
          <w:rPr>
            <w:noProof/>
            <w:webHidden/>
          </w:rPr>
          <w:fldChar w:fldCharType="separate"/>
        </w:r>
        <w:r w:rsidR="00AC14B3">
          <w:rPr>
            <w:noProof/>
            <w:webHidden/>
          </w:rPr>
          <w:t>3</w:t>
        </w:r>
        <w:r w:rsidR="00AC14B3">
          <w:rPr>
            <w:noProof/>
            <w:webHidden/>
          </w:rPr>
          <w:fldChar w:fldCharType="end"/>
        </w:r>
      </w:hyperlink>
    </w:p>
    <w:p w:rsidR="00AC14B3" w:rsidRPr="00A321F6" w:rsidRDefault="00DA2FBB">
      <w:pPr>
        <w:pStyle w:val="TOC2"/>
        <w:tabs>
          <w:tab w:val="right" w:leader="dot" w:pos="9350"/>
        </w:tabs>
        <w:rPr>
          <w:rFonts w:ascii="Calibri" w:hAnsi="Calibri"/>
          <w:noProof/>
          <w:szCs w:val="22"/>
        </w:rPr>
      </w:pPr>
      <w:hyperlink w:anchor="_Toc457915172" w:history="1">
        <w:r w:rsidR="00AC14B3" w:rsidRPr="00BE3976">
          <w:rPr>
            <w:rStyle w:val="Hyperlink"/>
            <w:noProof/>
          </w:rPr>
          <w:t>Role Delegation</w:t>
        </w:r>
        <w:r w:rsidR="00AC14B3">
          <w:rPr>
            <w:noProof/>
            <w:webHidden/>
          </w:rPr>
          <w:tab/>
        </w:r>
        <w:r w:rsidR="00AC14B3">
          <w:rPr>
            <w:noProof/>
            <w:webHidden/>
          </w:rPr>
          <w:fldChar w:fldCharType="begin"/>
        </w:r>
        <w:r w:rsidR="00AC14B3">
          <w:rPr>
            <w:noProof/>
            <w:webHidden/>
          </w:rPr>
          <w:instrText xml:space="preserve"> PAGEREF _Toc457915172 \h </w:instrText>
        </w:r>
        <w:r w:rsidR="00AC14B3">
          <w:rPr>
            <w:noProof/>
            <w:webHidden/>
          </w:rPr>
        </w:r>
        <w:r w:rsidR="00AC14B3">
          <w:rPr>
            <w:noProof/>
            <w:webHidden/>
          </w:rPr>
          <w:fldChar w:fldCharType="separate"/>
        </w:r>
        <w:r w:rsidR="00AC14B3">
          <w:rPr>
            <w:noProof/>
            <w:webHidden/>
          </w:rPr>
          <w:t>4</w:t>
        </w:r>
        <w:r w:rsidR="00AC14B3">
          <w:rPr>
            <w:noProof/>
            <w:webHidden/>
          </w:rPr>
          <w:fldChar w:fldCharType="end"/>
        </w:r>
      </w:hyperlink>
    </w:p>
    <w:p w:rsidR="00AC14B3" w:rsidRPr="00A321F6" w:rsidRDefault="00DA2FBB">
      <w:pPr>
        <w:pStyle w:val="TOC1"/>
        <w:rPr>
          <w:rFonts w:ascii="Calibri" w:hAnsi="Calibri"/>
          <w:noProof/>
          <w:szCs w:val="22"/>
        </w:rPr>
      </w:pPr>
      <w:hyperlink w:anchor="_Toc457915173" w:history="1">
        <w:r w:rsidR="00AC14B3" w:rsidRPr="00BE3976">
          <w:rPr>
            <w:rStyle w:val="Hyperlink"/>
            <w:bCs/>
            <w:noProof/>
          </w:rPr>
          <w:t>Violations</w:t>
        </w:r>
        <w:r w:rsidR="00AC14B3">
          <w:rPr>
            <w:noProof/>
            <w:webHidden/>
          </w:rPr>
          <w:tab/>
        </w:r>
        <w:r w:rsidR="00AC14B3">
          <w:rPr>
            <w:noProof/>
            <w:webHidden/>
          </w:rPr>
          <w:fldChar w:fldCharType="begin"/>
        </w:r>
        <w:r w:rsidR="00AC14B3">
          <w:rPr>
            <w:noProof/>
            <w:webHidden/>
          </w:rPr>
          <w:instrText xml:space="preserve"> PAGEREF _Toc457915173 \h </w:instrText>
        </w:r>
        <w:r w:rsidR="00AC14B3">
          <w:rPr>
            <w:noProof/>
            <w:webHidden/>
          </w:rPr>
        </w:r>
        <w:r w:rsidR="00AC14B3">
          <w:rPr>
            <w:noProof/>
            <w:webHidden/>
          </w:rPr>
          <w:fldChar w:fldCharType="separate"/>
        </w:r>
        <w:r w:rsidR="00AC14B3">
          <w:rPr>
            <w:noProof/>
            <w:webHidden/>
          </w:rPr>
          <w:t>4</w:t>
        </w:r>
        <w:r w:rsidR="00AC14B3">
          <w:rPr>
            <w:noProof/>
            <w:webHidden/>
          </w:rPr>
          <w:fldChar w:fldCharType="end"/>
        </w:r>
      </w:hyperlink>
    </w:p>
    <w:p w:rsidR="00AC14B3" w:rsidRPr="00A321F6" w:rsidRDefault="00DA2FBB">
      <w:pPr>
        <w:pStyle w:val="TOC1"/>
        <w:rPr>
          <w:rFonts w:ascii="Calibri" w:hAnsi="Calibri"/>
          <w:noProof/>
          <w:szCs w:val="22"/>
        </w:rPr>
      </w:pPr>
      <w:hyperlink w:anchor="_Toc457915174" w:history="1">
        <w:r w:rsidR="00AC14B3" w:rsidRPr="00BE3976">
          <w:rPr>
            <w:rStyle w:val="Hyperlink"/>
            <w:bCs/>
            <w:noProof/>
          </w:rPr>
          <w:t>Definitions</w:t>
        </w:r>
        <w:r w:rsidR="00AC14B3">
          <w:rPr>
            <w:noProof/>
            <w:webHidden/>
          </w:rPr>
          <w:tab/>
        </w:r>
        <w:r w:rsidR="00AC14B3">
          <w:rPr>
            <w:noProof/>
            <w:webHidden/>
          </w:rPr>
          <w:fldChar w:fldCharType="begin"/>
        </w:r>
        <w:r w:rsidR="00AC14B3">
          <w:rPr>
            <w:noProof/>
            <w:webHidden/>
          </w:rPr>
          <w:instrText xml:space="preserve"> PAGEREF _Toc457915174 \h </w:instrText>
        </w:r>
        <w:r w:rsidR="00AC14B3">
          <w:rPr>
            <w:noProof/>
            <w:webHidden/>
          </w:rPr>
        </w:r>
        <w:r w:rsidR="00AC14B3">
          <w:rPr>
            <w:noProof/>
            <w:webHidden/>
          </w:rPr>
          <w:fldChar w:fldCharType="separate"/>
        </w:r>
        <w:r w:rsidR="00AC14B3">
          <w:rPr>
            <w:noProof/>
            <w:webHidden/>
          </w:rPr>
          <w:t>5</w:t>
        </w:r>
        <w:r w:rsidR="00AC14B3">
          <w:rPr>
            <w:noProof/>
            <w:webHidden/>
          </w:rPr>
          <w:fldChar w:fldCharType="end"/>
        </w:r>
      </w:hyperlink>
    </w:p>
    <w:p w:rsidR="00AC14B3" w:rsidRPr="00A321F6" w:rsidRDefault="00DA2FBB">
      <w:pPr>
        <w:pStyle w:val="TOC1"/>
        <w:rPr>
          <w:rFonts w:ascii="Calibri" w:hAnsi="Calibri"/>
          <w:noProof/>
          <w:szCs w:val="22"/>
        </w:rPr>
      </w:pPr>
      <w:hyperlink w:anchor="_Toc457915175" w:history="1">
        <w:r w:rsidR="00AC14B3" w:rsidRPr="00BE3976">
          <w:rPr>
            <w:rStyle w:val="Hyperlink"/>
            <w:noProof/>
          </w:rPr>
          <w:t>References</w:t>
        </w:r>
        <w:r w:rsidR="00AC14B3">
          <w:rPr>
            <w:noProof/>
            <w:webHidden/>
          </w:rPr>
          <w:tab/>
        </w:r>
        <w:r w:rsidR="00AC14B3">
          <w:rPr>
            <w:noProof/>
            <w:webHidden/>
          </w:rPr>
          <w:fldChar w:fldCharType="begin"/>
        </w:r>
        <w:r w:rsidR="00AC14B3">
          <w:rPr>
            <w:noProof/>
            <w:webHidden/>
          </w:rPr>
          <w:instrText xml:space="preserve"> PAGEREF _Toc457915175 \h </w:instrText>
        </w:r>
        <w:r w:rsidR="00AC14B3">
          <w:rPr>
            <w:noProof/>
            <w:webHidden/>
          </w:rPr>
        </w:r>
        <w:r w:rsidR="00AC14B3">
          <w:rPr>
            <w:noProof/>
            <w:webHidden/>
          </w:rPr>
          <w:fldChar w:fldCharType="separate"/>
        </w:r>
        <w:r w:rsidR="00AC14B3">
          <w:rPr>
            <w:noProof/>
            <w:webHidden/>
          </w:rPr>
          <w:t>5</w:t>
        </w:r>
        <w:r w:rsidR="00AC14B3">
          <w:rPr>
            <w:noProof/>
            <w:webHidden/>
          </w:rPr>
          <w:fldChar w:fldCharType="end"/>
        </w:r>
      </w:hyperlink>
    </w:p>
    <w:p w:rsidR="00AC14B3" w:rsidRPr="00A321F6" w:rsidRDefault="00DA2FBB">
      <w:pPr>
        <w:pStyle w:val="TOC1"/>
        <w:rPr>
          <w:rFonts w:ascii="Calibri" w:hAnsi="Calibri"/>
          <w:noProof/>
          <w:szCs w:val="22"/>
        </w:rPr>
      </w:pPr>
      <w:hyperlink w:anchor="_Toc457915176" w:history="1">
        <w:r w:rsidR="00AC14B3" w:rsidRPr="00BE3976">
          <w:rPr>
            <w:rStyle w:val="Hyperlink"/>
            <w:bCs/>
            <w:noProof/>
          </w:rPr>
          <w:t>Approval and Ownership</w:t>
        </w:r>
        <w:r w:rsidR="00AC14B3">
          <w:rPr>
            <w:noProof/>
            <w:webHidden/>
          </w:rPr>
          <w:tab/>
        </w:r>
        <w:r w:rsidR="00AC14B3">
          <w:rPr>
            <w:noProof/>
            <w:webHidden/>
          </w:rPr>
          <w:fldChar w:fldCharType="begin"/>
        </w:r>
        <w:r w:rsidR="00AC14B3">
          <w:rPr>
            <w:noProof/>
            <w:webHidden/>
          </w:rPr>
          <w:instrText xml:space="preserve"> PAGEREF _Toc457915176 \h </w:instrText>
        </w:r>
        <w:r w:rsidR="00AC14B3">
          <w:rPr>
            <w:noProof/>
            <w:webHidden/>
          </w:rPr>
        </w:r>
        <w:r w:rsidR="00AC14B3">
          <w:rPr>
            <w:noProof/>
            <w:webHidden/>
          </w:rPr>
          <w:fldChar w:fldCharType="separate"/>
        </w:r>
        <w:r w:rsidR="00AC14B3">
          <w:rPr>
            <w:noProof/>
            <w:webHidden/>
          </w:rPr>
          <w:t>5</w:t>
        </w:r>
        <w:r w:rsidR="00AC14B3">
          <w:rPr>
            <w:noProof/>
            <w:webHidden/>
          </w:rPr>
          <w:fldChar w:fldCharType="end"/>
        </w:r>
      </w:hyperlink>
    </w:p>
    <w:p w:rsidR="00AC14B3" w:rsidRPr="00A321F6" w:rsidRDefault="00DA2FBB">
      <w:pPr>
        <w:pStyle w:val="TOC1"/>
        <w:rPr>
          <w:rFonts w:ascii="Calibri" w:hAnsi="Calibri"/>
          <w:noProof/>
          <w:szCs w:val="22"/>
        </w:rPr>
      </w:pPr>
      <w:hyperlink w:anchor="_Toc457915177" w:history="1">
        <w:r w:rsidR="00AC14B3" w:rsidRPr="00BE3976">
          <w:rPr>
            <w:rStyle w:val="Hyperlink"/>
            <w:bCs/>
            <w:noProof/>
          </w:rPr>
          <w:t>Revision History</w:t>
        </w:r>
        <w:r w:rsidR="00AC14B3">
          <w:rPr>
            <w:noProof/>
            <w:webHidden/>
          </w:rPr>
          <w:tab/>
        </w:r>
        <w:r w:rsidR="00AC14B3">
          <w:rPr>
            <w:noProof/>
            <w:webHidden/>
          </w:rPr>
          <w:fldChar w:fldCharType="begin"/>
        </w:r>
        <w:r w:rsidR="00AC14B3">
          <w:rPr>
            <w:noProof/>
            <w:webHidden/>
          </w:rPr>
          <w:instrText xml:space="preserve"> PAGEREF _Toc457915177 \h </w:instrText>
        </w:r>
        <w:r w:rsidR="00AC14B3">
          <w:rPr>
            <w:noProof/>
            <w:webHidden/>
          </w:rPr>
        </w:r>
        <w:r w:rsidR="00AC14B3">
          <w:rPr>
            <w:noProof/>
            <w:webHidden/>
          </w:rPr>
          <w:fldChar w:fldCharType="separate"/>
        </w:r>
        <w:r w:rsidR="00AC14B3">
          <w:rPr>
            <w:noProof/>
            <w:webHidden/>
          </w:rPr>
          <w:t>5</w:t>
        </w:r>
        <w:r w:rsidR="00AC14B3">
          <w:rPr>
            <w:noProof/>
            <w:webHidden/>
          </w:rPr>
          <w:fldChar w:fldCharType="end"/>
        </w:r>
      </w:hyperlink>
    </w:p>
    <w:p w:rsidR="0077342D" w:rsidRPr="00074BA0" w:rsidRDefault="006374A6" w:rsidP="00DD0B04">
      <w:pPr>
        <w:pStyle w:val="TOC1"/>
      </w:pPr>
      <w:r>
        <w:fldChar w:fldCharType="end"/>
      </w:r>
    </w:p>
    <w:p w:rsidR="00865B7F" w:rsidRPr="003F09FA" w:rsidRDefault="00865B7F" w:rsidP="00865B7F">
      <w:pPr>
        <w:pStyle w:val="PolicyElementHeader"/>
        <w:rPr>
          <w:bCs/>
          <w:color w:val="00527A"/>
        </w:rPr>
      </w:pPr>
      <w:bookmarkStart w:id="1" w:name="_Toc240855472"/>
      <w:bookmarkStart w:id="2" w:name="_Toc352610582"/>
      <w:bookmarkStart w:id="3" w:name="_Toc352610872"/>
      <w:bookmarkStart w:id="4" w:name="_Toc457915162"/>
      <w:bookmarkStart w:id="5" w:name="_Toc241985853"/>
      <w:r w:rsidRPr="003F09FA">
        <w:rPr>
          <w:bCs/>
          <w:color w:val="00527A"/>
        </w:rPr>
        <w:t>Purpose</w:t>
      </w:r>
      <w:bookmarkEnd w:id="1"/>
      <w:bookmarkEnd w:id="2"/>
      <w:bookmarkEnd w:id="3"/>
      <w:bookmarkEnd w:id="4"/>
    </w:p>
    <w:p w:rsidR="00865B7F" w:rsidRPr="0077342D" w:rsidRDefault="00865B7F" w:rsidP="00865B7F">
      <w:r w:rsidRPr="005A7C03">
        <w:t xml:space="preserve">This </w:t>
      </w:r>
      <w:r>
        <w:t>policy</w:t>
      </w:r>
      <w:r w:rsidRPr="005A7C03">
        <w:t xml:space="preserve"> defines the </w:t>
      </w:r>
      <w:r w:rsidR="00A543EE">
        <w:t>specific information security roles and responsibilities for implementing the</w:t>
      </w:r>
      <w:r w:rsidR="00223F4C">
        <w:t xml:space="preserve"> Company X</w:t>
      </w:r>
      <w:r w:rsidRPr="005A7C03">
        <w:t xml:space="preserve"> </w:t>
      </w:r>
      <w:r w:rsidR="00A543EE">
        <w:t>information security program.</w:t>
      </w:r>
    </w:p>
    <w:p w:rsidR="00865B7F" w:rsidRPr="003F09FA" w:rsidRDefault="00865B7F" w:rsidP="00865B7F">
      <w:pPr>
        <w:pStyle w:val="PolicyElementHeader"/>
        <w:rPr>
          <w:bCs/>
          <w:color w:val="00527A"/>
        </w:rPr>
      </w:pPr>
      <w:bookmarkStart w:id="6" w:name="_Toc240855473"/>
      <w:bookmarkStart w:id="7" w:name="_Toc352610583"/>
      <w:bookmarkStart w:id="8" w:name="_Toc352610873"/>
      <w:bookmarkStart w:id="9" w:name="_Toc457915163"/>
      <w:r w:rsidRPr="003F09FA">
        <w:rPr>
          <w:bCs/>
          <w:color w:val="00527A"/>
        </w:rPr>
        <w:t>Scope</w:t>
      </w:r>
      <w:bookmarkEnd w:id="6"/>
      <w:bookmarkEnd w:id="7"/>
      <w:bookmarkEnd w:id="8"/>
      <w:bookmarkEnd w:id="9"/>
    </w:p>
    <w:p w:rsidR="00865B7F" w:rsidRPr="00CD236D" w:rsidRDefault="00865B7F" w:rsidP="00865B7F">
      <w:pPr>
        <w:rPr>
          <w:szCs w:val="22"/>
        </w:rPr>
      </w:pPr>
      <w:r w:rsidRPr="00853487">
        <w:rPr>
          <w:szCs w:val="22"/>
        </w:rPr>
        <w:t xml:space="preserve">This policy applies to all </w:t>
      </w:r>
      <w:r w:rsidR="00223F4C">
        <w:t>Company X</w:t>
      </w:r>
      <w:r w:rsidRPr="005A7C03">
        <w:t xml:space="preserve"> </w:t>
      </w:r>
      <w:r w:rsidRPr="00853487">
        <w:rPr>
          <w:szCs w:val="22"/>
        </w:rPr>
        <w:t xml:space="preserve">computer systems and facilities, with a target audience of </w:t>
      </w:r>
      <w:r w:rsidR="00223F4C">
        <w:t>Company X</w:t>
      </w:r>
      <w:r w:rsidRPr="005A7C03">
        <w:t xml:space="preserve"> </w:t>
      </w:r>
      <w:r w:rsidRPr="00853487">
        <w:rPr>
          <w:szCs w:val="22"/>
        </w:rPr>
        <w:t>Information Technology employees and partners.</w:t>
      </w:r>
      <w:r w:rsidRPr="00CD236D">
        <w:rPr>
          <w:szCs w:val="22"/>
        </w:rPr>
        <w:t xml:space="preserve"> </w:t>
      </w:r>
    </w:p>
    <w:p w:rsidR="00865B7F" w:rsidRDefault="00865B7F" w:rsidP="00865B7F">
      <w:pPr>
        <w:pStyle w:val="PolicyElementHeader"/>
        <w:rPr>
          <w:bCs/>
          <w:color w:val="00527A"/>
        </w:rPr>
      </w:pPr>
      <w:bookmarkStart w:id="10" w:name="_Toc352610584"/>
      <w:bookmarkStart w:id="11" w:name="_Toc352610874"/>
      <w:bookmarkStart w:id="12" w:name="_Toc457915164"/>
      <w:r w:rsidRPr="003F09FA">
        <w:rPr>
          <w:bCs/>
          <w:color w:val="00527A"/>
        </w:rPr>
        <w:t>Policy</w:t>
      </w:r>
      <w:bookmarkEnd w:id="5"/>
      <w:bookmarkEnd w:id="10"/>
      <w:bookmarkEnd w:id="11"/>
      <w:bookmarkEnd w:id="12"/>
    </w:p>
    <w:p w:rsidR="00124E7F" w:rsidRPr="008104FC" w:rsidRDefault="00124E7F" w:rsidP="00124E7F">
      <w:pPr>
        <w:pStyle w:val="Heading3"/>
      </w:pPr>
      <w:bookmarkStart w:id="13" w:name="_Toc385506430"/>
      <w:bookmarkStart w:id="14" w:name="_Toc457915165"/>
      <w:bookmarkStart w:id="15" w:name="_Toc393796958"/>
      <w:bookmarkStart w:id="16" w:name="_Toc394329723"/>
      <w:bookmarkStart w:id="17" w:name="_Toc394921216"/>
      <w:bookmarkStart w:id="18" w:name="_Toc408906831"/>
      <w:bookmarkStart w:id="19" w:name="_Toc393796961"/>
      <w:bookmarkStart w:id="20" w:name="_Toc394329727"/>
      <w:bookmarkStart w:id="21" w:name="_Toc394921220"/>
      <w:bookmarkStart w:id="22" w:name="_Toc408906835"/>
      <w:bookmarkStart w:id="23" w:name="_Toc436468962"/>
      <w:bookmarkStart w:id="24" w:name="_Toc242654235"/>
      <w:r w:rsidRPr="008104FC">
        <w:t>Management Commitment to Information Security</w:t>
      </w:r>
      <w:bookmarkEnd w:id="13"/>
      <w:bookmarkEnd w:id="14"/>
    </w:p>
    <w:p w:rsidR="007B7056" w:rsidRDefault="007B7056" w:rsidP="007B7056">
      <w:pPr>
        <w:pStyle w:val="PolicyBodyText"/>
      </w:pPr>
      <w:r>
        <w:rPr>
          <w:b/>
        </w:rPr>
        <w:t xml:space="preserve">Explicit Management Support </w:t>
      </w:r>
      <w:r w:rsidRPr="007B7056">
        <w:t>-</w:t>
      </w:r>
      <w:r>
        <w:t xml:space="preserve"> </w:t>
      </w:r>
      <w:r w:rsidRPr="008104FC">
        <w:t>Company X management must provide clear direction and visible management su</w:t>
      </w:r>
      <w:r>
        <w:t>pport for security initiatives.</w:t>
      </w:r>
    </w:p>
    <w:p w:rsidR="007B7056" w:rsidRDefault="00124E7F" w:rsidP="00124E7F">
      <w:pPr>
        <w:pStyle w:val="PolicyBodyText"/>
      </w:pPr>
      <w:r w:rsidRPr="008104FC">
        <w:rPr>
          <w:b/>
        </w:rPr>
        <w:t>Information Security Management Committee</w:t>
      </w:r>
      <w:r w:rsidRPr="008104FC">
        <w:t xml:space="preserve"> </w:t>
      </w:r>
      <w:r w:rsidR="007B7056">
        <w:t>–</w:t>
      </w:r>
      <w:r w:rsidRPr="008104FC">
        <w:t xml:space="preserve"> </w:t>
      </w:r>
      <w:r w:rsidR="007B7056">
        <w:t>Company X must create a</w:t>
      </w:r>
      <w:r w:rsidRPr="008104FC">
        <w:t>n information security management committee composed of senior managers or their delegates from</w:t>
      </w:r>
      <w:r w:rsidR="007B7056">
        <w:t xml:space="preserve"> each major Company X functional area.  </w:t>
      </w:r>
    </w:p>
    <w:p w:rsidR="00124E7F" w:rsidRDefault="007B7056" w:rsidP="00124E7F">
      <w:pPr>
        <w:pStyle w:val="PolicyBodyText"/>
      </w:pPr>
      <w:r>
        <w:rPr>
          <w:b/>
        </w:rPr>
        <w:t xml:space="preserve">Program Review </w:t>
      </w:r>
      <w:r>
        <w:t xml:space="preserve">– The Security Management Committee </w:t>
      </w:r>
      <w:r w:rsidR="00124E7F" w:rsidRPr="008104FC">
        <w:t xml:space="preserve">must meet </w:t>
      </w:r>
      <w:r>
        <w:t>[</w:t>
      </w:r>
      <w:r w:rsidR="00124E7F" w:rsidRPr="008104FC">
        <w:t>quarterly</w:t>
      </w:r>
      <w:r>
        <w:t>]</w:t>
      </w:r>
      <w:r w:rsidR="00124E7F" w:rsidRPr="008104FC">
        <w:t xml:space="preserve"> to review the current status of information security at Company X, approve and later review information security projects, approve new or modified information security policies, and perform other necessary high-level information security management activities.</w:t>
      </w:r>
    </w:p>
    <w:p w:rsidR="007B7056" w:rsidRDefault="00124E7F" w:rsidP="00124E7F">
      <w:pPr>
        <w:pStyle w:val="PolicyBodyText"/>
      </w:pPr>
      <w:r w:rsidRPr="000C4B79">
        <w:rPr>
          <w:b/>
        </w:rPr>
        <w:lastRenderedPageBreak/>
        <w:t>Annual Information Security Strategy Report To Board</w:t>
      </w:r>
      <w:r w:rsidRPr="000C4B79">
        <w:t xml:space="preserve"> </w:t>
      </w:r>
      <w:r>
        <w:t>- T</w:t>
      </w:r>
      <w:r w:rsidRPr="000C4B79">
        <w:t>he Information Security Department must prepare an annual strategy report for the Board of Directors describing the ways that internal information security efforts support strategic business directions, current business objectives, and major organizational projects.</w:t>
      </w:r>
    </w:p>
    <w:p w:rsidR="00124E7F" w:rsidRDefault="00124E7F" w:rsidP="00124E7F">
      <w:pPr>
        <w:pStyle w:val="PolicyBodyText"/>
      </w:pPr>
      <w:r w:rsidRPr="008104FC">
        <w:rPr>
          <w:b/>
        </w:rPr>
        <w:t>Policy-Driven Information Systems Security Architecture</w:t>
      </w:r>
      <w:r w:rsidRPr="008104FC">
        <w:t xml:space="preserve"> - To assure that business goals and objectives are properly translated into information systems as well as the controls employed in these same information systems, Company X must employ a policy-driven information systems security architecture approach that is coordinated and managed by the Information Security Department, and integrated into the information security risk management process.</w:t>
      </w:r>
    </w:p>
    <w:p w:rsidR="008748AC" w:rsidRPr="008104FC" w:rsidRDefault="007B7056" w:rsidP="008748AC">
      <w:pPr>
        <w:pStyle w:val="Heading3"/>
      </w:pPr>
      <w:bookmarkStart w:id="25" w:name="_Toc457915166"/>
      <w:r>
        <w:t xml:space="preserve">Information </w:t>
      </w:r>
      <w:r w:rsidR="008748AC">
        <w:t>Security Planning</w:t>
      </w:r>
      <w:bookmarkEnd w:id="15"/>
      <w:bookmarkEnd w:id="16"/>
      <w:bookmarkEnd w:id="17"/>
      <w:bookmarkEnd w:id="18"/>
      <w:bookmarkEnd w:id="25"/>
    </w:p>
    <w:p w:rsidR="00F97213" w:rsidRPr="008104FC" w:rsidRDefault="00F97213" w:rsidP="00F97213">
      <w:pPr>
        <w:pStyle w:val="PolicyBodyText"/>
      </w:pPr>
      <w:r w:rsidRPr="008104FC">
        <w:rPr>
          <w:b/>
        </w:rPr>
        <w:t>Information Security Resources</w:t>
      </w:r>
      <w:r w:rsidRPr="008104FC">
        <w:t xml:space="preserve"> - Management must allocate sufficient resources and staff attention to adequately address information systems security.</w:t>
      </w:r>
    </w:p>
    <w:p w:rsidR="008748AC" w:rsidRDefault="008748AC" w:rsidP="008748AC">
      <w:pPr>
        <w:pStyle w:val="PolicyBodyText"/>
      </w:pPr>
      <w:r w:rsidRPr="008104FC">
        <w:rPr>
          <w:b/>
        </w:rPr>
        <w:t>Centralized Information Security</w:t>
      </w:r>
      <w:r w:rsidRPr="008104FC">
        <w:t xml:space="preserve"> - Guidance, direction, and authority for all information security activities are centralized for the entire organization in the Information Security </w:t>
      </w:r>
      <w:r>
        <w:t>Team</w:t>
      </w:r>
      <w:r w:rsidRPr="008104FC">
        <w:t>.</w:t>
      </w:r>
    </w:p>
    <w:p w:rsidR="00124E7F" w:rsidRDefault="00124E7F" w:rsidP="00124E7F">
      <w:pPr>
        <w:pStyle w:val="PolicyBodyText"/>
      </w:pPr>
      <w:r w:rsidRPr="008104FC">
        <w:rPr>
          <w:b/>
        </w:rPr>
        <w:t>Information Security Liaisons</w:t>
      </w:r>
      <w:r w:rsidRPr="008104FC">
        <w:t xml:space="preserve"> - Every department manager must designate an information security liaison and give this liaison sufficient training, supporting materials, and other resources to properly perform their job.</w:t>
      </w:r>
    </w:p>
    <w:p w:rsidR="00080331" w:rsidRDefault="00080331" w:rsidP="00080331">
      <w:pPr>
        <w:pStyle w:val="Heading3"/>
      </w:pPr>
      <w:bookmarkStart w:id="26" w:name="_Toc408906832"/>
      <w:bookmarkStart w:id="27" w:name="_Toc457915167"/>
      <w:r>
        <w:t>Information Security Responsibility Assignment</w:t>
      </w:r>
      <w:bookmarkEnd w:id="26"/>
      <w:bookmarkEnd w:id="27"/>
      <w:r>
        <w:t xml:space="preserve"> </w:t>
      </w:r>
    </w:p>
    <w:p w:rsidR="00080331" w:rsidRDefault="00080331" w:rsidP="00080331">
      <w:pPr>
        <w:pStyle w:val="PolicyBodyText"/>
      </w:pPr>
      <w:r>
        <w:rPr>
          <w:b/>
        </w:rPr>
        <w:t>Defining Specific Security Roles</w:t>
      </w:r>
      <w:r>
        <w:t xml:space="preserve"> – Company X must define specific job roles required for the effective implementation of the Company X information security program.  Each role must include a specific description of the information security-related duties performed by each team member performing those job functions.</w:t>
      </w:r>
    </w:p>
    <w:p w:rsidR="00124E7F" w:rsidRDefault="00124E7F" w:rsidP="00124E7F">
      <w:pPr>
        <w:pStyle w:val="PolicyBodyText"/>
      </w:pPr>
      <w:r>
        <w:rPr>
          <w:b/>
        </w:rPr>
        <w:t xml:space="preserve">Defining Department Responsibilities </w:t>
      </w:r>
      <w:r>
        <w:t>– To facilitate coordination and support for the information security function, the Information Security Manager or an approved delegate must define the specific duties of each department or organization unit (i.e. human resources, audit, Information Technology) that is required to support this effort.</w:t>
      </w:r>
    </w:p>
    <w:p w:rsidR="00080331" w:rsidRDefault="00080331" w:rsidP="00080331">
      <w:pPr>
        <w:pStyle w:val="PolicyBodyText"/>
      </w:pPr>
      <w:r>
        <w:rPr>
          <w:b/>
        </w:rPr>
        <w:t>Assigning Specific Security Roles</w:t>
      </w:r>
      <w:r>
        <w:t xml:space="preserve"> – Company X must explicitly define at least one individual responsible for the duties of the information security specific roles.</w:t>
      </w:r>
    </w:p>
    <w:p w:rsidR="00080331" w:rsidRDefault="00080331" w:rsidP="00080331">
      <w:pPr>
        <w:pStyle w:val="PolicyBodyText"/>
      </w:pPr>
      <w:r>
        <w:rPr>
          <w:b/>
        </w:rPr>
        <w:t xml:space="preserve">Assigning Security Officer </w:t>
      </w:r>
      <w:r>
        <w:t>– Company X must explicitly define at least one individual responsible for the duties of the information security function. This role will be entitled “Information Security Manager.”</w:t>
      </w:r>
    </w:p>
    <w:p w:rsidR="005E4E19" w:rsidRDefault="005E4E19" w:rsidP="005E4E19">
      <w:pPr>
        <w:pStyle w:val="Heading3"/>
      </w:pPr>
      <w:bookmarkStart w:id="28" w:name="_Toc394329725"/>
      <w:bookmarkStart w:id="29" w:name="_Toc394921218"/>
      <w:bookmarkStart w:id="30" w:name="_Toc408906833"/>
      <w:bookmarkStart w:id="31" w:name="_Toc457915168"/>
      <w:r>
        <w:t>Department Responsibilities</w:t>
      </w:r>
      <w:bookmarkEnd w:id="28"/>
      <w:bookmarkEnd w:id="29"/>
      <w:bookmarkEnd w:id="30"/>
      <w:bookmarkEnd w:id="31"/>
      <w:r>
        <w:t xml:space="preserve"> </w:t>
      </w:r>
    </w:p>
    <w:p w:rsidR="005E4E19" w:rsidRDefault="005E4E19" w:rsidP="005E4E19">
      <w:pPr>
        <w:pStyle w:val="PolicyBodyText"/>
      </w:pPr>
      <w:r w:rsidRPr="009648F6">
        <w:rPr>
          <w:b/>
        </w:rPr>
        <w:t>Information Security</w:t>
      </w:r>
      <w:r>
        <w:rPr>
          <w:b/>
        </w:rPr>
        <w:t xml:space="preserve"> Team</w:t>
      </w:r>
      <w:r>
        <w:t xml:space="preserve"> - Guidance, direction, and authority for information security activities are centralized for Company X within the Information Security Team.  Information Security is responsible for establishing and maintaining organization-wide information security policies, standards, guidelines, and procedures. </w:t>
      </w:r>
    </w:p>
    <w:p w:rsidR="005E4E19" w:rsidRDefault="005E4E19" w:rsidP="005E4E19">
      <w:pPr>
        <w:pStyle w:val="PolicyBodyText"/>
      </w:pPr>
      <w:r w:rsidRPr="00D0105A">
        <w:rPr>
          <w:b/>
        </w:rPr>
        <w:t>Incident Response Team</w:t>
      </w:r>
      <w:r>
        <w:t xml:space="preserve"> - Investigations of system intrusions and other information security incidents are the responsibility of the Information Security Team.</w:t>
      </w:r>
    </w:p>
    <w:p w:rsidR="005E4E19" w:rsidRDefault="005E4E19" w:rsidP="005E4E19">
      <w:pPr>
        <w:pStyle w:val="PolicyBodyText"/>
      </w:pPr>
      <w:r w:rsidRPr="00D0105A">
        <w:rPr>
          <w:b/>
        </w:rPr>
        <w:lastRenderedPageBreak/>
        <w:t xml:space="preserve">Internal Audit </w:t>
      </w:r>
      <w:r>
        <w:rPr>
          <w:b/>
        </w:rPr>
        <w:t>Team</w:t>
      </w:r>
      <w:r>
        <w:t xml:space="preserve">- Compliance checking to ensure that organizational units are operating in a manner consistent with these requirements is the responsibility of the Information Technology Audit Team. </w:t>
      </w:r>
    </w:p>
    <w:p w:rsidR="005E4E19" w:rsidRPr="008104FC" w:rsidRDefault="005E4E19" w:rsidP="00124E7F">
      <w:pPr>
        <w:pStyle w:val="PolicyBodyText"/>
      </w:pPr>
      <w:r w:rsidRPr="00D0105A">
        <w:rPr>
          <w:b/>
        </w:rPr>
        <w:t>Human Resources</w:t>
      </w:r>
      <w:r>
        <w:t xml:space="preserve"> - Disciplinary matters resulting from violations of information security requirements are handled by local managers working in conjunction with the Human Resources department.</w:t>
      </w:r>
    </w:p>
    <w:p w:rsidR="008748AC" w:rsidRPr="008104FC" w:rsidRDefault="008748AC" w:rsidP="008748AC">
      <w:pPr>
        <w:pStyle w:val="Heading3"/>
      </w:pPr>
      <w:bookmarkStart w:id="32" w:name="_Toc457915169"/>
      <w:r w:rsidRPr="008104FC">
        <w:t>Contact with Authorities</w:t>
      </w:r>
      <w:bookmarkEnd w:id="19"/>
      <w:bookmarkEnd w:id="20"/>
      <w:bookmarkEnd w:id="21"/>
      <w:bookmarkEnd w:id="22"/>
      <w:bookmarkEnd w:id="32"/>
    </w:p>
    <w:p w:rsidR="008748AC" w:rsidRDefault="008748AC" w:rsidP="008748AC">
      <w:pPr>
        <w:pStyle w:val="PolicyBodyText"/>
      </w:pPr>
      <w:r w:rsidRPr="008104FC">
        <w:rPr>
          <w:b/>
        </w:rPr>
        <w:t>Contacting Law Enforcement</w:t>
      </w:r>
      <w:r w:rsidRPr="008104FC">
        <w:t xml:space="preserve"> - Every decision about the involvement of law enforcement with information security incidents or problems must be made by a </w:t>
      </w:r>
      <w:r w:rsidR="00223F4C">
        <w:t>Company X</w:t>
      </w:r>
      <w:r w:rsidRPr="008104FC">
        <w:t xml:space="preserve"> </w:t>
      </w:r>
      <w:r>
        <w:t>senior partner in conjunction with the Information Security Manager</w:t>
      </w:r>
      <w:r w:rsidRPr="008104FC">
        <w:t xml:space="preserve">. </w:t>
      </w:r>
    </w:p>
    <w:p w:rsidR="008748AC" w:rsidRDefault="008748AC" w:rsidP="008748AC">
      <w:pPr>
        <w:pStyle w:val="PolicyBodyText"/>
      </w:pPr>
      <w:r w:rsidRPr="008104FC">
        <w:rPr>
          <w:b/>
        </w:rPr>
        <w:t>Relationships with Emergency Personnel and Law Enforcement</w:t>
      </w:r>
      <w:r w:rsidRPr="008104FC">
        <w:t xml:space="preserve"> - As part of establishing the roles and responsibilities for both information systems contingency planning and information systems recovery, working relationships with local emergency personnel (fire and rescue, utilities, etc.) and law enforcement should be made prior to any contingency requiring them.</w:t>
      </w:r>
    </w:p>
    <w:p w:rsidR="008748AC" w:rsidRPr="008104FC" w:rsidRDefault="008748AC" w:rsidP="008748AC">
      <w:pPr>
        <w:pStyle w:val="Heading3"/>
      </w:pPr>
      <w:bookmarkStart w:id="33" w:name="_Toc385506435"/>
      <w:bookmarkStart w:id="34" w:name="_Toc408906836"/>
      <w:bookmarkStart w:id="35" w:name="_Toc457915170"/>
      <w:r w:rsidRPr="008104FC">
        <w:t>Contact with Special Interest Groups</w:t>
      </w:r>
      <w:bookmarkEnd w:id="33"/>
      <w:bookmarkEnd w:id="34"/>
      <w:bookmarkEnd w:id="35"/>
    </w:p>
    <w:p w:rsidR="008748AC" w:rsidRDefault="008748AC" w:rsidP="008748AC">
      <w:pPr>
        <w:pStyle w:val="PolicyBodyText"/>
      </w:pPr>
      <w:r w:rsidRPr="008104FC">
        <w:rPr>
          <w:b/>
        </w:rPr>
        <w:t xml:space="preserve">Special Interest Groups </w:t>
      </w:r>
      <w:r w:rsidRPr="008104FC">
        <w:t xml:space="preserve">- </w:t>
      </w:r>
      <w:r w:rsidR="00223F4C">
        <w:t>Company X</w:t>
      </w:r>
      <w:r w:rsidRPr="008104FC">
        <w:t xml:space="preserve"> information security professionals must maintain memberships with security forums and professional associations to improve knowledge about best practices and staying up to date with relevant security information.</w:t>
      </w:r>
    </w:p>
    <w:p w:rsidR="00080331" w:rsidRDefault="00080331" w:rsidP="00080331">
      <w:pPr>
        <w:pStyle w:val="PolicyBodyText"/>
      </w:pPr>
      <w:r w:rsidRPr="008104FC">
        <w:rPr>
          <w:b/>
        </w:rPr>
        <w:t>Information Security Technical Training And Professional Development</w:t>
      </w:r>
      <w:r w:rsidRPr="008104FC">
        <w:t xml:space="preserve"> - To ensure that information security technical staff members remain aware of important recent developments, each member must have an annual technical training and professional development plan. Company X management must provide a significant amount of paid time off so that these staff members can pursue parts of this plan, as well as participate in information security professional associations and special interest groups.</w:t>
      </w:r>
    </w:p>
    <w:p w:rsidR="008748AC" w:rsidRDefault="008748AC" w:rsidP="008748AC">
      <w:pPr>
        <w:pStyle w:val="Heading3"/>
      </w:pPr>
      <w:bookmarkStart w:id="36" w:name="_Toc393796826"/>
      <w:bookmarkStart w:id="37" w:name="_Toc394329726"/>
      <w:bookmarkStart w:id="38" w:name="_Toc394921219"/>
      <w:bookmarkStart w:id="39" w:name="_Toc436468963"/>
      <w:bookmarkStart w:id="40" w:name="_Toc457915171"/>
      <w:r>
        <w:t>Employee Information Security Roles</w:t>
      </w:r>
      <w:bookmarkEnd w:id="36"/>
      <w:bookmarkEnd w:id="37"/>
      <w:bookmarkEnd w:id="38"/>
      <w:bookmarkEnd w:id="39"/>
      <w:bookmarkEnd w:id="40"/>
    </w:p>
    <w:p w:rsidR="008748AC" w:rsidRDefault="008748AC" w:rsidP="008748AC">
      <w:pPr>
        <w:pStyle w:val="PolicyBodyText"/>
      </w:pPr>
      <w:r w:rsidRPr="009648F6">
        <w:rPr>
          <w:b/>
        </w:rPr>
        <w:t>Three Categories Of Responsibilities</w:t>
      </w:r>
      <w:r>
        <w:t xml:space="preserve"> - To coordinate a team effort, </w:t>
      </w:r>
      <w:r w:rsidR="00223F4C">
        <w:t>Company X</w:t>
      </w:r>
      <w:r>
        <w:t xml:space="preserve"> has established three categories, at least one of which applies to each employee or third-party with access to sensitive information. These categories are Owner, Custodian, and User. These categories define general responsibilities with respect to information security. </w:t>
      </w:r>
    </w:p>
    <w:p w:rsidR="008748AC" w:rsidRDefault="008748AC" w:rsidP="008748AC">
      <w:pPr>
        <w:pStyle w:val="PolicyBodyText"/>
      </w:pPr>
      <w:r w:rsidRPr="009648F6">
        <w:rPr>
          <w:b/>
        </w:rPr>
        <w:t>Owner Responsibilities</w:t>
      </w:r>
      <w:r>
        <w:t xml:space="preserve"> - Information Owners are the department managers, members of the top management team, or their delegates within </w:t>
      </w:r>
      <w:r w:rsidR="00223F4C">
        <w:t>Company X</w:t>
      </w:r>
      <w:r>
        <w:t xml:space="preserve"> who bear responsibility for the acquisition, development, and maintenance of production applications that process </w:t>
      </w:r>
      <w:r w:rsidR="00223F4C">
        <w:t>Company X</w:t>
      </w:r>
      <w:r>
        <w:t xml:space="preserve"> information. Production applications are computer programs that regularly provide reports in support of decision making and other business activities. All production application system information must have a designated Owner. For each type of information, Owners designate the relevant sensitivity classification, designate the appropriate level of criticality, define which users will be granted access, and approve requests for various ways in which the information will be utilized.</w:t>
      </w:r>
    </w:p>
    <w:p w:rsidR="008748AC" w:rsidRDefault="008748AC" w:rsidP="008748AC">
      <w:pPr>
        <w:pStyle w:val="PolicyBodyText"/>
      </w:pPr>
      <w:r w:rsidRPr="009648F6">
        <w:rPr>
          <w:b/>
        </w:rPr>
        <w:t>Custodian Responsibilities</w:t>
      </w:r>
      <w:r>
        <w:t xml:space="preserve"> - Custodians are in physical or logical possession of either </w:t>
      </w:r>
      <w:r w:rsidR="00223F4C">
        <w:t>Company X</w:t>
      </w:r>
      <w:r>
        <w:t xml:space="preserve"> information or information that has been entrusted to </w:t>
      </w:r>
      <w:r w:rsidR="00223F4C">
        <w:t>Company X</w:t>
      </w:r>
      <w:r>
        <w:t xml:space="preserve">. While Information Technology department staff members clearly are Custodians, local system administrators are also Custodians. Whenever information is maintained only on a personal computer, the User is also a Custodian. Each type of production application system </w:t>
      </w:r>
      <w:r>
        <w:lastRenderedPageBreak/>
        <w:t>information must have one or more designated Custodians. Custodians are responsible for safeguarding the information, including implementing access control systems to prevent inappropriate disclosure, and making backups so that critical information will not be lost. Custodians are also required to implement, operate, and maintain the security measures defined by information Owners.</w:t>
      </w:r>
    </w:p>
    <w:p w:rsidR="008748AC" w:rsidRDefault="008748AC" w:rsidP="008748AC">
      <w:pPr>
        <w:pStyle w:val="PolicyBodyText"/>
      </w:pPr>
      <w:r w:rsidRPr="009648F6">
        <w:rPr>
          <w:b/>
          <w:bCs/>
        </w:rPr>
        <w:t>User Responsibilities</w:t>
      </w:r>
      <w:r>
        <w:t xml:space="preserve"> - Users are responsible for familiarizing themselves with and complying with all </w:t>
      </w:r>
      <w:r w:rsidR="00223F4C">
        <w:t>Company X</w:t>
      </w:r>
      <w:r>
        <w:t xml:space="preserve"> policies, procedures, and standards dealing with information security. Questions about the appropriate handling of a specific type of information should be directed to either the Custodian or the Owner of the involved information.</w:t>
      </w:r>
    </w:p>
    <w:p w:rsidR="00F10113" w:rsidRDefault="00F10113" w:rsidP="00F10113">
      <w:pPr>
        <w:pStyle w:val="PolicyBodyText"/>
      </w:pPr>
      <w:r>
        <w:rPr>
          <w:b/>
        </w:rPr>
        <w:t xml:space="preserve">Information Owner Training </w:t>
      </w:r>
      <w:r w:rsidRPr="00CB21E4">
        <w:t>-</w:t>
      </w:r>
      <w:r>
        <w:t xml:space="preserve"> The Information Security department will provide Owners with training, reference material, and consulting assistance so that they may appropriately make these and related decisions and distinctions. Owners also must make decisions about the permissible uses of information including relevant business rules. Owners are responsible for choosing appropriate information systems, and relevant controls for information handled by these systems, consistent with policies and standards issued by the Information Security department [an intranet link to these policies can be inserted here]. For example, Owners must define the validation rules used to verify the correctness and acceptability of input data. These validation rules and other controls for protecting information must be formally approved in writing by the relevant Owner before major modifications can be made to production application systems. Owners must understand the uses and risks associated with the information for which they are accountable. This means that they are responsible for the consequences associated with improper disclosure, insufficient maintenance, inaccurate classification labeling, and other security-related control deficiencies pertaining to the information for which they are the designated Owner.</w:t>
      </w:r>
    </w:p>
    <w:p w:rsidR="00F10113" w:rsidRDefault="00F10113" w:rsidP="00F10113">
      <w:pPr>
        <w:pStyle w:val="Heading3"/>
      </w:pPr>
      <w:bookmarkStart w:id="41" w:name="_Toc457915172"/>
      <w:r>
        <w:t>Role Delegation</w:t>
      </w:r>
      <w:bookmarkEnd w:id="41"/>
    </w:p>
    <w:p w:rsidR="00F10113" w:rsidRDefault="00F10113" w:rsidP="00F10113">
      <w:pPr>
        <w:pStyle w:val="PolicyBodyText"/>
      </w:pPr>
      <w:r>
        <w:rPr>
          <w:b/>
        </w:rPr>
        <w:t xml:space="preserve">Owner Delegation </w:t>
      </w:r>
      <w:r w:rsidRPr="00CB21E4">
        <w:t>-</w:t>
      </w:r>
      <w:r>
        <w:t xml:space="preserve"> An Owner’s roles and responsibilities may be delegated to any full-time manager in the Owner’s business unit. An Owner’s roles and responsibilities may not be assigned or delegated to contractors, consultants, or individuals at outsourcing organizations or external service bureaus.</w:t>
      </w:r>
    </w:p>
    <w:p w:rsidR="00F10113" w:rsidRDefault="00F10113" w:rsidP="00F10113">
      <w:pPr>
        <w:pStyle w:val="PolicyBodyText"/>
      </w:pPr>
      <w:r>
        <w:rPr>
          <w:b/>
        </w:rPr>
        <w:t xml:space="preserve">Designating Custodians </w:t>
      </w:r>
      <w:r w:rsidRPr="003F23E0">
        <w:t>-</w:t>
      </w:r>
      <w:r>
        <w:t xml:space="preserve"> Owners are responsible for identifying all those individuals who are in possession of the information for which they are the designated Owner. These individuals by default become Custodians. Although special care must be taken to clearly specify security-related roles and responsibilities when outsiders are involved, it is permissible for Custodians to be contractors, consultants, or individuals at outsourcing organizations or external service bureaus.</w:t>
      </w:r>
    </w:p>
    <w:p w:rsidR="00F10113" w:rsidRDefault="00F10113" w:rsidP="00F10113">
      <w:pPr>
        <w:pStyle w:val="PolicyBodyText"/>
      </w:pPr>
      <w:r w:rsidRPr="00863909">
        <w:rPr>
          <w:b/>
        </w:rPr>
        <w:t>Designating Users</w:t>
      </w:r>
      <w:r>
        <w:t xml:space="preserve"> - Users may be employees, temporaries, contractors, consultants, or third parties with whom special arrangements, such as non-disclosure agreements, have been made [a link to a non-disclosure form could be inserted here]. All users must be known to and authorized by Owners. </w:t>
      </w:r>
    </w:p>
    <w:p w:rsidR="00F10113" w:rsidRDefault="00F10113" w:rsidP="008748AC">
      <w:pPr>
        <w:pStyle w:val="PolicyBodyText"/>
      </w:pPr>
    </w:p>
    <w:p w:rsidR="00A437C9" w:rsidRPr="00074BA0" w:rsidRDefault="00924538" w:rsidP="00074BA0">
      <w:pPr>
        <w:pStyle w:val="PolicyElementHeader"/>
        <w:rPr>
          <w:bCs/>
          <w:color w:val="00527A"/>
        </w:rPr>
      </w:pPr>
      <w:bookmarkStart w:id="42" w:name="_Toc457915173"/>
      <w:bookmarkEnd w:id="23"/>
      <w:bookmarkEnd w:id="24"/>
      <w:r>
        <w:rPr>
          <w:bCs/>
          <w:color w:val="00527A"/>
        </w:rPr>
        <w:t>Violations</w:t>
      </w:r>
      <w:bookmarkEnd w:id="42"/>
    </w:p>
    <w:p w:rsidR="003C1B8C" w:rsidRPr="002A7256" w:rsidRDefault="002A7256" w:rsidP="00451671">
      <w:pPr>
        <w:spacing w:after="120"/>
        <w:rPr>
          <w:rFonts w:eastAsia="MS Mincho" w:cs="Arial"/>
          <w:szCs w:val="20"/>
        </w:rPr>
      </w:pPr>
      <w:r w:rsidRPr="002A7256">
        <w:rPr>
          <w:rFonts w:eastAsia="MS Mincho" w:cs="Arial"/>
          <w:szCs w:val="20"/>
        </w:rPr>
        <w:t xml:space="preserve">Any violation of this policy may result in disciplinary action, up to and including termination of employment.  </w:t>
      </w:r>
      <w:r w:rsidR="00223F4C">
        <w:rPr>
          <w:rFonts w:eastAsia="MS Mincho" w:cs="Arial"/>
          <w:szCs w:val="20"/>
        </w:rPr>
        <w:t>Company X</w:t>
      </w:r>
      <w:r w:rsidRPr="002A7256">
        <w:rPr>
          <w:rFonts w:eastAsia="MS Mincho" w:cs="Arial"/>
          <w:szCs w:val="20"/>
        </w:rPr>
        <w:t xml:space="preserve"> reserves the right to notify the appropriate law enforcement authorities of any unlawful activity and to cooperate in any investigation of such activity. </w:t>
      </w:r>
      <w:r w:rsidR="00223F4C">
        <w:rPr>
          <w:rFonts w:eastAsia="MS Mincho" w:cs="Arial"/>
          <w:szCs w:val="20"/>
        </w:rPr>
        <w:t>Company X</w:t>
      </w:r>
      <w:r w:rsidRPr="002A7256">
        <w:rPr>
          <w:rFonts w:eastAsia="MS Mincho" w:cs="Arial"/>
          <w:szCs w:val="20"/>
        </w:rPr>
        <w:t xml:space="preserve"> does not consider conduct in violation of this policy to be within an employee’s or </w:t>
      </w:r>
      <w:r w:rsidRPr="002A7256">
        <w:rPr>
          <w:rFonts w:eastAsia="MS Mincho" w:cs="Arial"/>
          <w:szCs w:val="20"/>
        </w:rPr>
        <w:lastRenderedPageBreak/>
        <w:t xml:space="preserve">partner’s course and scope of employment, or the direct consequence of the discharge of the employee’s or partner’s duties. Accordingly, to the extent permitted by law, </w:t>
      </w:r>
      <w:r w:rsidR="00223F4C">
        <w:rPr>
          <w:rFonts w:eastAsia="MS Mincho" w:cs="Arial"/>
          <w:szCs w:val="20"/>
        </w:rPr>
        <w:t>Company X</w:t>
      </w:r>
      <w:r w:rsidRPr="002A7256">
        <w:rPr>
          <w:rFonts w:eastAsia="MS Mincho" w:cs="Arial"/>
          <w:szCs w:val="20"/>
        </w:rPr>
        <w:t xml:space="preserve"> reserves the right not to defend or pay any damages awarded against employees or partners that result from violation of this policy.</w:t>
      </w:r>
    </w:p>
    <w:p w:rsidR="00A437C9" w:rsidRPr="003F09FA" w:rsidRDefault="00A437C9" w:rsidP="003F09FA">
      <w:pPr>
        <w:pStyle w:val="PolicyElementHeader"/>
        <w:rPr>
          <w:bCs/>
          <w:color w:val="00527A"/>
        </w:rPr>
      </w:pPr>
      <w:bookmarkStart w:id="43" w:name="_Toc457915174"/>
      <w:r w:rsidRPr="003F09FA">
        <w:rPr>
          <w:bCs/>
          <w:color w:val="00527A"/>
        </w:rPr>
        <w:t>Definitions</w:t>
      </w:r>
      <w:bookmarkEnd w:id="43"/>
    </w:p>
    <w:p w:rsidR="007129D9" w:rsidRDefault="007129D9" w:rsidP="007129D9">
      <w:pPr>
        <w:spacing w:after="120"/>
        <w:jc w:val="both"/>
      </w:pPr>
      <w:r>
        <w:rPr>
          <w:b/>
          <w:bCs/>
        </w:rPr>
        <w:t>Confidential Information (Sensitive Information)</w:t>
      </w:r>
      <w:r>
        <w:t xml:space="preserve"> – </w:t>
      </w:r>
      <w:r w:rsidR="00FA3CEA">
        <w:t xml:space="preserve">Any </w:t>
      </w:r>
      <w:r w:rsidR="00223F4C">
        <w:t>Company X</w:t>
      </w:r>
      <w:r w:rsidR="00FA3CEA">
        <w:t xml:space="preserve">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w:t>
      </w:r>
      <w:r w:rsidR="00FA3CEA" w:rsidRPr="00683322">
        <w:t>confidential litigation documents, medical records, and attorney-client privilege documents</w:t>
      </w:r>
      <w:r w:rsidR="00FA3CEA">
        <w:t>.</w:t>
      </w:r>
    </w:p>
    <w:p w:rsidR="007129D9" w:rsidRDefault="007129D9" w:rsidP="007129D9">
      <w:pPr>
        <w:spacing w:after="120"/>
        <w:jc w:val="both"/>
        <w:rPr>
          <w:bCs/>
        </w:rPr>
      </w:pPr>
      <w:r>
        <w:rPr>
          <w:b/>
          <w:bCs/>
        </w:rPr>
        <w:t xml:space="preserve">Information Asset – </w:t>
      </w:r>
      <w:r w:rsidRPr="00D62668">
        <w:rPr>
          <w:bCs/>
        </w:rPr>
        <w:t xml:space="preserve">Any </w:t>
      </w:r>
      <w:r w:rsidR="00223F4C">
        <w:t>Company X</w:t>
      </w:r>
      <w:r w:rsidRPr="00D62668">
        <w:rPr>
          <w:bCs/>
        </w:rPr>
        <w:t xml:space="preserve"> data in any form, and the equipment used to manage, process, or store </w:t>
      </w:r>
      <w:r w:rsidR="00223F4C">
        <w:rPr>
          <w:bCs/>
        </w:rPr>
        <w:t>Company X</w:t>
      </w:r>
      <w:r w:rsidRPr="00D62668">
        <w:rPr>
          <w:bCs/>
        </w:rPr>
        <w:t xml:space="preserve"> data, that is used in the course of executing business.  This includes, but is not limited to, corporate, customer, and partner data.</w:t>
      </w:r>
    </w:p>
    <w:p w:rsidR="00BA7551" w:rsidRDefault="00BA7551" w:rsidP="00BA7551">
      <w:pPr>
        <w:spacing w:after="120"/>
        <w:jc w:val="both"/>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rsidR="00AD5620" w:rsidRDefault="00AD5620" w:rsidP="00AD5620">
      <w:pPr>
        <w:spacing w:after="120"/>
        <w:jc w:val="both"/>
      </w:pPr>
      <w:r>
        <w:rPr>
          <w:b/>
          <w:bCs/>
        </w:rPr>
        <w:t>Third-Party</w:t>
      </w:r>
      <w:r w:rsidRPr="00CA3C71">
        <w:rPr>
          <w:b/>
        </w:rPr>
        <w:t xml:space="preserve"> – </w:t>
      </w:r>
      <w:r w:rsidRPr="0034512D">
        <w:t xml:space="preserve">Any non-employee of </w:t>
      </w:r>
      <w:r>
        <w:t>Company X</w:t>
      </w:r>
      <w:r w:rsidRPr="0034512D">
        <w:t xml:space="preserve"> who is contractually bound to provide some form of service to </w:t>
      </w:r>
      <w:r>
        <w:t>Company X</w:t>
      </w:r>
      <w:r w:rsidRPr="0034512D">
        <w:t>.</w:t>
      </w:r>
    </w:p>
    <w:p w:rsidR="00F51BD1" w:rsidRDefault="007129D9" w:rsidP="007129D9">
      <w:pPr>
        <w:spacing w:after="120"/>
      </w:pPr>
      <w:r w:rsidRPr="00EC4A77">
        <w:rPr>
          <w:b/>
          <w:bCs/>
        </w:rPr>
        <w:t>User</w:t>
      </w:r>
      <w:r w:rsidRPr="00EC4A77">
        <w:rPr>
          <w:b/>
        </w:rPr>
        <w:t xml:space="preserve"> - </w:t>
      </w:r>
      <w:r w:rsidRPr="00EC4A77">
        <w:t xml:space="preserve">Any </w:t>
      </w:r>
      <w:r w:rsidR="00223F4C">
        <w:t>Company X</w:t>
      </w:r>
      <w:r w:rsidRPr="00EC4A77">
        <w:t xml:space="preserve"> employee or partner who has been authorized to access any </w:t>
      </w:r>
      <w:r w:rsidR="00223F4C">
        <w:t>Company X</w:t>
      </w:r>
      <w:r w:rsidRPr="00EC4A77">
        <w:t xml:space="preserve"> electronic information resource.</w:t>
      </w:r>
    </w:p>
    <w:p w:rsidR="00080331" w:rsidRDefault="00080331" w:rsidP="00080331">
      <w:pPr>
        <w:pStyle w:val="PolicyElementHeader"/>
        <w:rPr>
          <w:color w:val="00527A"/>
          <w:szCs w:val="28"/>
        </w:rPr>
      </w:pPr>
      <w:bookmarkStart w:id="44" w:name="_Toc408906839"/>
      <w:bookmarkStart w:id="45" w:name="_Toc457915175"/>
      <w:bookmarkStart w:id="46" w:name="_Toc394566065"/>
      <w:r>
        <w:rPr>
          <w:color w:val="00527A"/>
          <w:szCs w:val="28"/>
        </w:rPr>
        <w:t>References</w:t>
      </w:r>
      <w:bookmarkEnd w:id="44"/>
      <w:bookmarkEnd w:id="45"/>
    </w:p>
    <w:p w:rsidR="00080331" w:rsidRDefault="00080331" w:rsidP="00080331">
      <w:r>
        <w:t>CPL: 3.0 – Information Security Organization</w:t>
      </w:r>
    </w:p>
    <w:p w:rsidR="00080331" w:rsidRDefault="00080331" w:rsidP="00080331">
      <w:r>
        <w:t xml:space="preserve">ISO 27002: 6. </w:t>
      </w:r>
      <w:r w:rsidRPr="0098286A">
        <w:t>Organization of information security</w:t>
      </w:r>
    </w:p>
    <w:p w:rsidR="00080331" w:rsidRDefault="00080331" w:rsidP="00080331">
      <w:r w:rsidRPr="00AC2CFF">
        <w:t>HIPAA: Security Management Process 164.308(a)(1)</w:t>
      </w:r>
    </w:p>
    <w:p w:rsidR="00080331" w:rsidRDefault="00080331" w:rsidP="00080331">
      <w:r w:rsidRPr="00AC2CFF">
        <w:t>NIST: PL-1 Security Planning Policy and Procedures</w:t>
      </w:r>
    </w:p>
    <w:p w:rsidR="00080331" w:rsidRPr="00701546" w:rsidRDefault="00080331" w:rsidP="00080331">
      <w:r w:rsidRPr="00AC2CFF">
        <w:t>PCI: R12. Maintain a security policy for all personnel</w:t>
      </w:r>
    </w:p>
    <w:p w:rsidR="00223F4C" w:rsidRPr="00EF734B" w:rsidRDefault="00223F4C" w:rsidP="00223F4C">
      <w:pPr>
        <w:pStyle w:val="PolicyElementHeader"/>
        <w:rPr>
          <w:bCs/>
          <w:color w:val="00527A"/>
        </w:rPr>
      </w:pPr>
      <w:bookmarkStart w:id="47" w:name="_Toc457915176"/>
      <w:r w:rsidRPr="00EF734B">
        <w:rPr>
          <w:bCs/>
          <w:color w:val="00527A"/>
        </w:rPr>
        <w:t>Approval and Ownership</w:t>
      </w:r>
      <w:bookmarkEnd w:id="46"/>
      <w:bookmarkEnd w:id="4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223F4C" w:rsidTr="00F00F60">
        <w:trPr>
          <w:trHeight w:val="346"/>
        </w:trPr>
        <w:tc>
          <w:tcPr>
            <w:tcW w:w="2520" w:type="dxa"/>
            <w:shd w:val="pct10" w:color="auto" w:fill="auto"/>
            <w:tcMar>
              <w:top w:w="29" w:type="dxa"/>
              <w:left w:w="115" w:type="dxa"/>
              <w:bottom w:w="29" w:type="dxa"/>
              <w:right w:w="115" w:type="dxa"/>
            </w:tcMar>
            <w:vAlign w:val="center"/>
          </w:tcPr>
          <w:p w:rsidR="00223F4C" w:rsidRDefault="00223F4C" w:rsidP="00F00F60">
            <w:pPr>
              <w:pStyle w:val="FooterTableHeader"/>
            </w:pPr>
            <w:r>
              <w:t>Owner</w:t>
            </w:r>
          </w:p>
        </w:tc>
        <w:tc>
          <w:tcPr>
            <w:tcW w:w="2520" w:type="dxa"/>
            <w:shd w:val="pct10" w:color="auto" w:fill="auto"/>
            <w:tcMar>
              <w:top w:w="29" w:type="dxa"/>
              <w:left w:w="115" w:type="dxa"/>
              <w:bottom w:w="29" w:type="dxa"/>
              <w:right w:w="115" w:type="dxa"/>
            </w:tcMar>
            <w:vAlign w:val="center"/>
          </w:tcPr>
          <w:p w:rsidR="00223F4C" w:rsidRDefault="00223F4C" w:rsidP="00F00F60">
            <w:pPr>
              <w:pStyle w:val="FooterTableHeader"/>
            </w:pPr>
            <w:r>
              <w:t>Title</w:t>
            </w:r>
          </w:p>
        </w:tc>
        <w:tc>
          <w:tcPr>
            <w:tcW w:w="1980" w:type="dxa"/>
            <w:shd w:val="pct10" w:color="auto" w:fill="auto"/>
            <w:tcMar>
              <w:top w:w="29" w:type="dxa"/>
              <w:left w:w="115" w:type="dxa"/>
              <w:bottom w:w="29" w:type="dxa"/>
              <w:right w:w="115" w:type="dxa"/>
            </w:tcMar>
            <w:vAlign w:val="center"/>
          </w:tcPr>
          <w:p w:rsidR="00223F4C" w:rsidRDefault="00223F4C" w:rsidP="00F00F60">
            <w:pPr>
              <w:pStyle w:val="FooterTableHeader"/>
            </w:pPr>
            <w:r>
              <w:t>Date</w:t>
            </w:r>
          </w:p>
        </w:tc>
        <w:tc>
          <w:tcPr>
            <w:tcW w:w="2340" w:type="dxa"/>
            <w:shd w:val="pct10" w:color="auto" w:fill="auto"/>
            <w:tcMar>
              <w:top w:w="29" w:type="dxa"/>
              <w:left w:w="115" w:type="dxa"/>
              <w:bottom w:w="29" w:type="dxa"/>
              <w:right w:w="115" w:type="dxa"/>
            </w:tcMar>
            <w:vAlign w:val="center"/>
          </w:tcPr>
          <w:p w:rsidR="00223F4C" w:rsidRDefault="00223F4C" w:rsidP="00F00F60">
            <w:pPr>
              <w:pStyle w:val="FooterTableHeader"/>
            </w:pPr>
            <w:r>
              <w:t>Signature</w:t>
            </w:r>
          </w:p>
        </w:tc>
      </w:tr>
      <w:tr w:rsidR="00223F4C" w:rsidTr="00F00F60">
        <w:trPr>
          <w:trHeight w:val="346"/>
        </w:trPr>
        <w:tc>
          <w:tcPr>
            <w:tcW w:w="2520" w:type="dxa"/>
            <w:tcBorders>
              <w:bottom w:val="single" w:sz="4" w:space="0" w:color="auto"/>
            </w:tcBorders>
            <w:tcMar>
              <w:top w:w="29" w:type="dxa"/>
              <w:left w:w="115" w:type="dxa"/>
              <w:bottom w:w="29" w:type="dxa"/>
              <w:right w:w="115" w:type="dxa"/>
            </w:tcMar>
            <w:vAlign w:val="center"/>
          </w:tcPr>
          <w:p w:rsidR="00223F4C" w:rsidRPr="002E0978" w:rsidRDefault="00223F4C" w:rsidP="00F00F60">
            <w:pPr>
              <w:pStyle w:val="PolicyHeaderFill"/>
            </w:pPr>
            <w:r w:rsidRPr="002E0978">
              <w:t>Policy Author</w:t>
            </w:r>
          </w:p>
        </w:tc>
        <w:tc>
          <w:tcPr>
            <w:tcW w:w="2520" w:type="dxa"/>
            <w:tcBorders>
              <w:bottom w:val="single" w:sz="4" w:space="0" w:color="auto"/>
            </w:tcBorders>
            <w:tcMar>
              <w:top w:w="29" w:type="dxa"/>
              <w:left w:w="115" w:type="dxa"/>
              <w:bottom w:w="29" w:type="dxa"/>
              <w:right w:w="115" w:type="dxa"/>
            </w:tcMar>
            <w:vAlign w:val="center"/>
          </w:tcPr>
          <w:p w:rsidR="00223F4C" w:rsidRPr="0043775C" w:rsidRDefault="00223F4C" w:rsidP="00F00F60">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23F4C" w:rsidRPr="0043775C" w:rsidRDefault="00F97213" w:rsidP="00F00F60">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23F4C" w:rsidRDefault="00223F4C" w:rsidP="00F00F60">
            <w:pPr>
              <w:jc w:val="center"/>
            </w:pPr>
          </w:p>
        </w:tc>
      </w:tr>
      <w:tr w:rsidR="00223F4C" w:rsidTr="00F00F60">
        <w:trPr>
          <w:trHeight w:val="346"/>
        </w:trPr>
        <w:tc>
          <w:tcPr>
            <w:tcW w:w="2520" w:type="dxa"/>
            <w:shd w:val="pct10" w:color="auto" w:fill="auto"/>
            <w:tcMar>
              <w:top w:w="29" w:type="dxa"/>
              <w:left w:w="115" w:type="dxa"/>
              <w:bottom w:w="29" w:type="dxa"/>
              <w:right w:w="115" w:type="dxa"/>
            </w:tcMar>
            <w:vAlign w:val="center"/>
          </w:tcPr>
          <w:p w:rsidR="00223F4C" w:rsidRPr="002E0978" w:rsidRDefault="00223F4C" w:rsidP="00F00F60">
            <w:pPr>
              <w:pStyle w:val="FooterTableHeader"/>
            </w:pPr>
            <w:r w:rsidRPr="002E0978">
              <w:t>Approved By</w:t>
            </w:r>
          </w:p>
        </w:tc>
        <w:tc>
          <w:tcPr>
            <w:tcW w:w="2520" w:type="dxa"/>
            <w:shd w:val="pct10" w:color="auto" w:fill="auto"/>
            <w:tcMar>
              <w:top w:w="29" w:type="dxa"/>
              <w:left w:w="115" w:type="dxa"/>
              <w:bottom w:w="29" w:type="dxa"/>
              <w:right w:w="115" w:type="dxa"/>
            </w:tcMar>
            <w:vAlign w:val="center"/>
          </w:tcPr>
          <w:p w:rsidR="00223F4C" w:rsidRDefault="00223F4C" w:rsidP="00F00F60">
            <w:pPr>
              <w:pStyle w:val="FooterTableHeader"/>
            </w:pPr>
            <w:r>
              <w:t>Title</w:t>
            </w:r>
          </w:p>
        </w:tc>
        <w:tc>
          <w:tcPr>
            <w:tcW w:w="1980" w:type="dxa"/>
            <w:shd w:val="pct10" w:color="auto" w:fill="auto"/>
            <w:tcMar>
              <w:top w:w="29" w:type="dxa"/>
              <w:left w:w="115" w:type="dxa"/>
              <w:bottom w:w="29" w:type="dxa"/>
              <w:right w:w="115" w:type="dxa"/>
            </w:tcMar>
            <w:vAlign w:val="center"/>
          </w:tcPr>
          <w:p w:rsidR="00223F4C" w:rsidRDefault="00223F4C" w:rsidP="00F00F60">
            <w:pPr>
              <w:pStyle w:val="FooterTableHeader"/>
            </w:pPr>
            <w:r>
              <w:t>Date</w:t>
            </w:r>
          </w:p>
        </w:tc>
        <w:tc>
          <w:tcPr>
            <w:tcW w:w="2340" w:type="dxa"/>
            <w:shd w:val="pct10" w:color="auto" w:fill="auto"/>
            <w:tcMar>
              <w:top w:w="29" w:type="dxa"/>
              <w:left w:w="115" w:type="dxa"/>
              <w:bottom w:w="29" w:type="dxa"/>
              <w:right w:w="115" w:type="dxa"/>
            </w:tcMar>
            <w:vAlign w:val="center"/>
          </w:tcPr>
          <w:p w:rsidR="00223F4C" w:rsidRDefault="00223F4C" w:rsidP="00F00F60">
            <w:pPr>
              <w:pStyle w:val="FooterTableHeader"/>
            </w:pPr>
            <w:r>
              <w:t>Signature</w:t>
            </w:r>
          </w:p>
        </w:tc>
      </w:tr>
      <w:tr w:rsidR="00223F4C" w:rsidTr="00F00F60">
        <w:trPr>
          <w:trHeight w:val="346"/>
        </w:trPr>
        <w:tc>
          <w:tcPr>
            <w:tcW w:w="2520" w:type="dxa"/>
            <w:tcMar>
              <w:top w:w="29" w:type="dxa"/>
              <w:left w:w="115" w:type="dxa"/>
              <w:bottom w:w="29" w:type="dxa"/>
              <w:right w:w="115" w:type="dxa"/>
            </w:tcMar>
            <w:vAlign w:val="center"/>
          </w:tcPr>
          <w:p w:rsidR="00223F4C" w:rsidRPr="002E0978" w:rsidRDefault="00223F4C" w:rsidP="00F00F60">
            <w:pPr>
              <w:pStyle w:val="PolicyHeaderFill"/>
            </w:pPr>
            <w:r w:rsidRPr="002E0978">
              <w:t>Executive Sponsor</w:t>
            </w:r>
          </w:p>
        </w:tc>
        <w:tc>
          <w:tcPr>
            <w:tcW w:w="2520" w:type="dxa"/>
            <w:tcMar>
              <w:top w:w="29" w:type="dxa"/>
              <w:left w:w="115" w:type="dxa"/>
              <w:bottom w:w="29" w:type="dxa"/>
              <w:right w:w="115" w:type="dxa"/>
            </w:tcMar>
            <w:vAlign w:val="center"/>
          </w:tcPr>
          <w:p w:rsidR="00223F4C" w:rsidRPr="0043775C" w:rsidRDefault="00223F4C" w:rsidP="00F00F60">
            <w:pPr>
              <w:pStyle w:val="PolicyHeaderFill"/>
            </w:pPr>
            <w:r>
              <w:t>Title</w:t>
            </w:r>
          </w:p>
        </w:tc>
        <w:tc>
          <w:tcPr>
            <w:tcW w:w="1980" w:type="dxa"/>
            <w:tcMar>
              <w:top w:w="29" w:type="dxa"/>
              <w:left w:w="115" w:type="dxa"/>
              <w:bottom w:w="29" w:type="dxa"/>
              <w:right w:w="115" w:type="dxa"/>
            </w:tcMar>
            <w:vAlign w:val="center"/>
          </w:tcPr>
          <w:p w:rsidR="00223F4C" w:rsidRPr="0043775C" w:rsidRDefault="00F97213" w:rsidP="00F00F60">
            <w:pPr>
              <w:pStyle w:val="PolicyHeaderFill"/>
            </w:pPr>
            <w:r>
              <w:t>MM/DD/YYYY</w:t>
            </w:r>
          </w:p>
        </w:tc>
        <w:tc>
          <w:tcPr>
            <w:tcW w:w="2340" w:type="dxa"/>
            <w:tcMar>
              <w:top w:w="29" w:type="dxa"/>
              <w:left w:w="115" w:type="dxa"/>
              <w:bottom w:w="29" w:type="dxa"/>
              <w:right w:w="115" w:type="dxa"/>
            </w:tcMar>
            <w:vAlign w:val="center"/>
          </w:tcPr>
          <w:p w:rsidR="00223F4C" w:rsidRDefault="00223F4C" w:rsidP="00F00F60">
            <w:pPr>
              <w:jc w:val="center"/>
            </w:pPr>
          </w:p>
        </w:tc>
      </w:tr>
    </w:tbl>
    <w:p w:rsidR="00FA3CEA" w:rsidRDefault="00FA3CEA" w:rsidP="00FA3CEA"/>
    <w:p w:rsidR="00F97213" w:rsidRPr="00EF734B" w:rsidRDefault="00F97213" w:rsidP="00F97213">
      <w:pPr>
        <w:pStyle w:val="PolicyElementHeader"/>
        <w:rPr>
          <w:bCs/>
          <w:color w:val="00527A"/>
        </w:rPr>
      </w:pPr>
      <w:bookmarkStart w:id="48" w:name="_Toc241985859"/>
      <w:bookmarkStart w:id="49" w:name="_Toc408906842"/>
      <w:bookmarkStart w:id="50" w:name="_Toc457915177"/>
      <w:r w:rsidRPr="00EF734B">
        <w:rPr>
          <w:bCs/>
          <w:color w:val="00527A"/>
        </w:rPr>
        <w:t>Revision History</w:t>
      </w:r>
      <w:bookmarkEnd w:id="48"/>
      <w:bookmarkEnd w:id="49"/>
      <w:bookmarkEnd w:id="50"/>
    </w:p>
    <w:p w:rsidR="00F97213" w:rsidRDefault="00F97213" w:rsidP="00F97213"/>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F97213" w:rsidRPr="0076502A" w:rsidTr="004641EB">
        <w:trPr>
          <w:trHeight w:val="566"/>
        </w:trPr>
        <w:tc>
          <w:tcPr>
            <w:tcW w:w="624" w:type="pct"/>
            <w:shd w:val="pct10" w:color="auto" w:fill="auto"/>
            <w:vAlign w:val="center"/>
          </w:tcPr>
          <w:p w:rsidR="00F97213" w:rsidRPr="00DA209E" w:rsidRDefault="00F97213" w:rsidP="004641EB">
            <w:pPr>
              <w:pStyle w:val="FooterTableHeader"/>
            </w:pPr>
            <w:r w:rsidRPr="00DA209E">
              <w:t>Version</w:t>
            </w:r>
          </w:p>
        </w:tc>
        <w:tc>
          <w:tcPr>
            <w:tcW w:w="1540" w:type="pct"/>
            <w:shd w:val="pct10" w:color="auto" w:fill="auto"/>
            <w:vAlign w:val="center"/>
          </w:tcPr>
          <w:p w:rsidR="00F97213" w:rsidRPr="00DA209E" w:rsidRDefault="00F97213" w:rsidP="004641EB">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F97213" w:rsidRPr="00DA209E" w:rsidRDefault="00F97213" w:rsidP="004641EB">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F97213" w:rsidRPr="00DA209E" w:rsidRDefault="00F97213" w:rsidP="004641EB">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F97213" w:rsidRPr="00DA209E" w:rsidRDefault="00F97213" w:rsidP="004641EB">
            <w:pPr>
              <w:pStyle w:val="FooterTableHeader"/>
            </w:pPr>
            <w:r>
              <w:t>Reviewer/Approver</w:t>
            </w:r>
            <w:r w:rsidRPr="00DA209E">
              <w:br/>
              <w:t>Name</w:t>
            </w:r>
          </w:p>
        </w:tc>
      </w:tr>
      <w:tr w:rsidR="00F97213" w:rsidRPr="0076502A" w:rsidTr="004641EB">
        <w:trPr>
          <w:trHeight w:val="288"/>
        </w:trPr>
        <w:tc>
          <w:tcPr>
            <w:tcW w:w="624" w:type="pct"/>
            <w:vAlign w:val="center"/>
          </w:tcPr>
          <w:p w:rsidR="00F97213" w:rsidRPr="00DA209E" w:rsidRDefault="00F97213" w:rsidP="004641EB">
            <w:pPr>
              <w:pStyle w:val="PolicyHeaderFill"/>
            </w:pPr>
            <w:r w:rsidRPr="00DA209E">
              <w:t>1.0</w:t>
            </w:r>
          </w:p>
        </w:tc>
        <w:tc>
          <w:tcPr>
            <w:tcW w:w="1540" w:type="pct"/>
            <w:vAlign w:val="center"/>
          </w:tcPr>
          <w:p w:rsidR="00F97213" w:rsidRPr="00DA209E" w:rsidRDefault="00F97213" w:rsidP="004641EB">
            <w:pPr>
              <w:pStyle w:val="PolicyHeaderFill"/>
            </w:pPr>
            <w:r w:rsidRPr="00DA209E">
              <w:t>Initial Version</w:t>
            </w:r>
          </w:p>
        </w:tc>
        <w:tc>
          <w:tcPr>
            <w:tcW w:w="817" w:type="pct"/>
            <w:tcMar>
              <w:top w:w="29" w:type="dxa"/>
              <w:left w:w="115" w:type="dxa"/>
              <w:bottom w:w="29" w:type="dxa"/>
              <w:right w:w="115" w:type="dxa"/>
            </w:tcMar>
            <w:vAlign w:val="center"/>
          </w:tcPr>
          <w:p w:rsidR="00F97213" w:rsidRPr="00DA209E" w:rsidRDefault="00F97213" w:rsidP="004641EB">
            <w:pPr>
              <w:pStyle w:val="PolicyHeaderFill"/>
            </w:pPr>
            <w:r>
              <w:t>MM/DD/YYYY</w:t>
            </w:r>
          </w:p>
        </w:tc>
        <w:tc>
          <w:tcPr>
            <w:tcW w:w="817" w:type="pct"/>
            <w:tcMar>
              <w:top w:w="29" w:type="dxa"/>
              <w:left w:w="115" w:type="dxa"/>
              <w:bottom w:w="29" w:type="dxa"/>
              <w:right w:w="115" w:type="dxa"/>
            </w:tcMar>
            <w:vAlign w:val="center"/>
          </w:tcPr>
          <w:p w:rsidR="00F97213" w:rsidRPr="00DA209E" w:rsidRDefault="00F97213" w:rsidP="004641EB">
            <w:pPr>
              <w:pStyle w:val="PolicyHeaderFill"/>
            </w:pPr>
            <w:r>
              <w:t>MM/DD/YYYY</w:t>
            </w:r>
          </w:p>
        </w:tc>
        <w:tc>
          <w:tcPr>
            <w:tcW w:w="1202" w:type="pct"/>
            <w:tcMar>
              <w:top w:w="29" w:type="dxa"/>
              <w:left w:w="115" w:type="dxa"/>
              <w:bottom w:w="29" w:type="dxa"/>
              <w:right w:w="115" w:type="dxa"/>
            </w:tcMar>
            <w:vAlign w:val="center"/>
          </w:tcPr>
          <w:p w:rsidR="00F97213" w:rsidRPr="0076502A" w:rsidRDefault="00F97213" w:rsidP="004641EB">
            <w:pPr>
              <w:pStyle w:val="PolicyHeaderFill"/>
            </w:pPr>
          </w:p>
        </w:tc>
      </w:tr>
      <w:tr w:rsidR="00F97213" w:rsidRPr="0076502A" w:rsidTr="004641EB">
        <w:trPr>
          <w:trHeight w:val="288"/>
        </w:trPr>
        <w:tc>
          <w:tcPr>
            <w:tcW w:w="624" w:type="pct"/>
            <w:vAlign w:val="center"/>
          </w:tcPr>
          <w:p w:rsidR="00F97213" w:rsidRPr="0076502A" w:rsidRDefault="00F97213" w:rsidP="004641EB">
            <w:pPr>
              <w:pStyle w:val="FooterTableHeader"/>
              <w:rPr>
                <w:rFonts w:ascii="Times New Roman" w:hAnsi="Times New Roman"/>
                <w:sz w:val="22"/>
                <w:szCs w:val="22"/>
              </w:rPr>
            </w:pPr>
          </w:p>
        </w:tc>
        <w:tc>
          <w:tcPr>
            <w:tcW w:w="1540" w:type="pct"/>
            <w:vAlign w:val="center"/>
          </w:tcPr>
          <w:p w:rsidR="00F97213" w:rsidRPr="0076502A" w:rsidRDefault="00F97213" w:rsidP="004641EB">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F97213" w:rsidRPr="0076502A" w:rsidRDefault="00F97213" w:rsidP="004641EB">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F97213" w:rsidRPr="003C1B8C" w:rsidRDefault="00F97213" w:rsidP="004641EB">
            <w:pPr>
              <w:pStyle w:val="PolicyHeaderFill"/>
            </w:pPr>
          </w:p>
        </w:tc>
        <w:tc>
          <w:tcPr>
            <w:tcW w:w="1202" w:type="pct"/>
            <w:tcMar>
              <w:top w:w="29" w:type="dxa"/>
              <w:left w:w="115" w:type="dxa"/>
              <w:bottom w:w="29" w:type="dxa"/>
              <w:right w:w="115" w:type="dxa"/>
            </w:tcMar>
            <w:vAlign w:val="center"/>
          </w:tcPr>
          <w:p w:rsidR="00F97213" w:rsidRPr="0076502A" w:rsidRDefault="00F97213" w:rsidP="004641EB">
            <w:pPr>
              <w:pStyle w:val="FooterTableHeader"/>
              <w:rPr>
                <w:rFonts w:ascii="Times New Roman" w:hAnsi="Times New Roman"/>
                <w:sz w:val="22"/>
                <w:szCs w:val="22"/>
              </w:rPr>
            </w:pPr>
          </w:p>
        </w:tc>
      </w:tr>
    </w:tbl>
    <w:p w:rsidR="00F97213" w:rsidRDefault="00F97213" w:rsidP="00FA3CEA"/>
    <w:sectPr w:rsidR="00F97213"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2FBB" w:rsidRDefault="00DA2FBB">
      <w:r>
        <w:separator/>
      </w:r>
    </w:p>
    <w:p w:rsidR="00DA2FBB" w:rsidRDefault="00DA2FBB"/>
  </w:endnote>
  <w:endnote w:type="continuationSeparator" w:id="0">
    <w:p w:rsidR="00DA2FBB" w:rsidRDefault="00DA2FBB">
      <w:r>
        <w:continuationSeparator/>
      </w:r>
    </w:p>
    <w:p w:rsidR="00DA2FBB" w:rsidRDefault="00DA2F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223F4C" w:rsidP="00575A04">
    <w:pPr>
      <w:pStyle w:val="Footer"/>
    </w:pPr>
    <w:r>
      <w:t xml:space="preserve">Company X </w:t>
    </w:r>
    <w:r w:rsidR="00FA3CEA">
      <w:t>Security Policy</w:t>
    </w:r>
    <w:r w:rsidR="003C1B8C" w:rsidRPr="00575A04">
      <w:tab/>
      <w:t>CONFIDENTIAL</w:t>
    </w:r>
    <w:r w:rsidR="003C1B8C" w:rsidRPr="00575A04">
      <w:tab/>
    </w:r>
    <w:r w:rsidR="003C1B8C">
      <w:t xml:space="preserve">  </w:t>
    </w:r>
    <w:r w:rsidR="003C1B8C" w:rsidRPr="00575A04">
      <w:t xml:space="preserve">Page </w:t>
    </w:r>
    <w:r w:rsidR="006374A6">
      <w:fldChar w:fldCharType="begin"/>
    </w:r>
    <w:r w:rsidR="00EF1182">
      <w:instrText xml:space="preserve"> PAGE </w:instrText>
    </w:r>
    <w:r w:rsidR="006374A6">
      <w:fldChar w:fldCharType="separate"/>
    </w:r>
    <w:r w:rsidR="00C773C6">
      <w:rPr>
        <w:noProof/>
      </w:rPr>
      <w:t>1</w:t>
    </w:r>
    <w:r w:rsidR="006374A6">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2FBB" w:rsidRDefault="00DA2FBB">
      <w:r>
        <w:separator/>
      </w:r>
    </w:p>
    <w:p w:rsidR="00DA2FBB" w:rsidRDefault="00DA2FBB"/>
  </w:footnote>
  <w:footnote w:type="continuationSeparator" w:id="0">
    <w:p w:rsidR="00DA2FBB" w:rsidRDefault="00DA2FBB">
      <w:r>
        <w:continuationSeparator/>
      </w:r>
    </w:p>
    <w:p w:rsidR="00DA2FBB" w:rsidRDefault="00DA2FB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06A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DB28B8"/>
    <w:multiLevelType w:val="hybridMultilevel"/>
    <w:tmpl w:val="66401DB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44D9A"/>
    <w:multiLevelType w:val="hybridMultilevel"/>
    <w:tmpl w:val="AE5A2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8F5801"/>
    <w:multiLevelType w:val="hybridMultilevel"/>
    <w:tmpl w:val="DDC6A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3"/>
  </w:num>
  <w:num w:numId="3">
    <w:abstractNumId w:val="9"/>
  </w:num>
  <w:num w:numId="4">
    <w:abstractNumId w:val="8"/>
  </w:num>
  <w:num w:numId="5">
    <w:abstractNumId w:val="5"/>
  </w:num>
  <w:num w:numId="6">
    <w:abstractNumId w:val="6"/>
  </w:num>
  <w:num w:numId="7">
    <w:abstractNumId w:val="1"/>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2018"/>
    <w:rsid w:val="0000157F"/>
    <w:rsid w:val="000044E5"/>
    <w:rsid w:val="0003608C"/>
    <w:rsid w:val="00051520"/>
    <w:rsid w:val="00070DBD"/>
    <w:rsid w:val="00074BA0"/>
    <w:rsid w:val="00080331"/>
    <w:rsid w:val="00087738"/>
    <w:rsid w:val="000A6314"/>
    <w:rsid w:val="000B671B"/>
    <w:rsid w:val="000C06AA"/>
    <w:rsid w:val="000C5174"/>
    <w:rsid w:val="000F1A16"/>
    <w:rsid w:val="001072C4"/>
    <w:rsid w:val="00107EC2"/>
    <w:rsid w:val="001116EE"/>
    <w:rsid w:val="00124E7F"/>
    <w:rsid w:val="00143AFF"/>
    <w:rsid w:val="001513F2"/>
    <w:rsid w:val="00151ABC"/>
    <w:rsid w:val="0016248C"/>
    <w:rsid w:val="0016703E"/>
    <w:rsid w:val="00191375"/>
    <w:rsid w:val="001B3246"/>
    <w:rsid w:val="001B556F"/>
    <w:rsid w:val="001E5FFA"/>
    <w:rsid w:val="001F1048"/>
    <w:rsid w:val="00220F4D"/>
    <w:rsid w:val="00222CF1"/>
    <w:rsid w:val="00223F4C"/>
    <w:rsid w:val="002323B8"/>
    <w:rsid w:val="002435A6"/>
    <w:rsid w:val="00244229"/>
    <w:rsid w:val="00253D9B"/>
    <w:rsid w:val="00255B11"/>
    <w:rsid w:val="0025728D"/>
    <w:rsid w:val="0029313E"/>
    <w:rsid w:val="002A1334"/>
    <w:rsid w:val="002A7256"/>
    <w:rsid w:val="002B50C6"/>
    <w:rsid w:val="00307C3B"/>
    <w:rsid w:val="003162F7"/>
    <w:rsid w:val="003245CE"/>
    <w:rsid w:val="00364588"/>
    <w:rsid w:val="00373D4F"/>
    <w:rsid w:val="00385F82"/>
    <w:rsid w:val="00395649"/>
    <w:rsid w:val="00397D8F"/>
    <w:rsid w:val="003C1B8C"/>
    <w:rsid w:val="003D02A5"/>
    <w:rsid w:val="003F09FA"/>
    <w:rsid w:val="00400FC8"/>
    <w:rsid w:val="004254C1"/>
    <w:rsid w:val="00451671"/>
    <w:rsid w:val="00481967"/>
    <w:rsid w:val="00481C65"/>
    <w:rsid w:val="00491984"/>
    <w:rsid w:val="004C54DF"/>
    <w:rsid w:val="004D2353"/>
    <w:rsid w:val="004D37EB"/>
    <w:rsid w:val="004F7469"/>
    <w:rsid w:val="0051524F"/>
    <w:rsid w:val="00555CFC"/>
    <w:rsid w:val="00565990"/>
    <w:rsid w:val="00565B97"/>
    <w:rsid w:val="00574566"/>
    <w:rsid w:val="00575A04"/>
    <w:rsid w:val="005A4B62"/>
    <w:rsid w:val="005B23C5"/>
    <w:rsid w:val="005D12B6"/>
    <w:rsid w:val="005D52B4"/>
    <w:rsid w:val="005E4E19"/>
    <w:rsid w:val="005F45F1"/>
    <w:rsid w:val="006173D9"/>
    <w:rsid w:val="006200A9"/>
    <w:rsid w:val="0062107D"/>
    <w:rsid w:val="00630DCA"/>
    <w:rsid w:val="006374A6"/>
    <w:rsid w:val="006510F6"/>
    <w:rsid w:val="00653F92"/>
    <w:rsid w:val="00667AE6"/>
    <w:rsid w:val="00667E8A"/>
    <w:rsid w:val="00673932"/>
    <w:rsid w:val="00684D1E"/>
    <w:rsid w:val="0068601F"/>
    <w:rsid w:val="006C099D"/>
    <w:rsid w:val="007129D9"/>
    <w:rsid w:val="00736D1C"/>
    <w:rsid w:val="0077342D"/>
    <w:rsid w:val="00775AB4"/>
    <w:rsid w:val="007844D5"/>
    <w:rsid w:val="00787A1D"/>
    <w:rsid w:val="00792113"/>
    <w:rsid w:val="007B7056"/>
    <w:rsid w:val="007D37A8"/>
    <w:rsid w:val="007F61A2"/>
    <w:rsid w:val="008063B7"/>
    <w:rsid w:val="008314A5"/>
    <w:rsid w:val="008314F4"/>
    <w:rsid w:val="00853487"/>
    <w:rsid w:val="0086465F"/>
    <w:rsid w:val="00865B7F"/>
    <w:rsid w:val="008748AC"/>
    <w:rsid w:val="00896FE2"/>
    <w:rsid w:val="00897169"/>
    <w:rsid w:val="008B60A6"/>
    <w:rsid w:val="00924538"/>
    <w:rsid w:val="009246D3"/>
    <w:rsid w:val="00955117"/>
    <w:rsid w:val="009715EE"/>
    <w:rsid w:val="00975083"/>
    <w:rsid w:val="00990178"/>
    <w:rsid w:val="009A4764"/>
    <w:rsid w:val="009A6CDE"/>
    <w:rsid w:val="009B3637"/>
    <w:rsid w:val="009D5F8C"/>
    <w:rsid w:val="009E0BC4"/>
    <w:rsid w:val="009F01BF"/>
    <w:rsid w:val="009F1103"/>
    <w:rsid w:val="00A201F5"/>
    <w:rsid w:val="00A321F6"/>
    <w:rsid w:val="00A32B57"/>
    <w:rsid w:val="00A33801"/>
    <w:rsid w:val="00A4341D"/>
    <w:rsid w:val="00A437C9"/>
    <w:rsid w:val="00A543EE"/>
    <w:rsid w:val="00A72018"/>
    <w:rsid w:val="00A726A1"/>
    <w:rsid w:val="00AB5967"/>
    <w:rsid w:val="00AC0F82"/>
    <w:rsid w:val="00AC14B3"/>
    <w:rsid w:val="00AD5620"/>
    <w:rsid w:val="00AD5BE0"/>
    <w:rsid w:val="00AF5689"/>
    <w:rsid w:val="00B07E11"/>
    <w:rsid w:val="00B36AF7"/>
    <w:rsid w:val="00B427DB"/>
    <w:rsid w:val="00B53867"/>
    <w:rsid w:val="00B63BE4"/>
    <w:rsid w:val="00B704AF"/>
    <w:rsid w:val="00B87742"/>
    <w:rsid w:val="00BA21BA"/>
    <w:rsid w:val="00BA7551"/>
    <w:rsid w:val="00BF1A5F"/>
    <w:rsid w:val="00C03914"/>
    <w:rsid w:val="00C3337F"/>
    <w:rsid w:val="00C42E3E"/>
    <w:rsid w:val="00C51809"/>
    <w:rsid w:val="00C51C73"/>
    <w:rsid w:val="00C53F8F"/>
    <w:rsid w:val="00C76D3B"/>
    <w:rsid w:val="00C773C6"/>
    <w:rsid w:val="00C91FBB"/>
    <w:rsid w:val="00C93207"/>
    <w:rsid w:val="00CD236D"/>
    <w:rsid w:val="00D13DA3"/>
    <w:rsid w:val="00D248F2"/>
    <w:rsid w:val="00D343E9"/>
    <w:rsid w:val="00D35111"/>
    <w:rsid w:val="00D37A2B"/>
    <w:rsid w:val="00D86AF2"/>
    <w:rsid w:val="00DA209E"/>
    <w:rsid w:val="00DA2FBB"/>
    <w:rsid w:val="00DD0B04"/>
    <w:rsid w:val="00DF667F"/>
    <w:rsid w:val="00E364EF"/>
    <w:rsid w:val="00E408FB"/>
    <w:rsid w:val="00E46AE8"/>
    <w:rsid w:val="00E474F5"/>
    <w:rsid w:val="00E81331"/>
    <w:rsid w:val="00EC5DB4"/>
    <w:rsid w:val="00EE14CA"/>
    <w:rsid w:val="00EF1182"/>
    <w:rsid w:val="00EF5378"/>
    <w:rsid w:val="00EF734B"/>
    <w:rsid w:val="00F07EAE"/>
    <w:rsid w:val="00F10113"/>
    <w:rsid w:val="00F51BD1"/>
    <w:rsid w:val="00F863AA"/>
    <w:rsid w:val="00F97213"/>
    <w:rsid w:val="00FA3CEA"/>
    <w:rsid w:val="00FC7E0F"/>
    <w:rsid w:val="00FD47F3"/>
    <w:rsid w:val="00FE2000"/>
    <w:rsid w:val="00FF0E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9A8B9"/>
  <w15:docId w15:val="{699BFBA8-1434-4969-B528-E57CE864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F863AA"/>
    <w:pPr>
      <w:keepNext/>
      <w:spacing w:before="240" w:after="60"/>
      <w:outlineLvl w:val="1"/>
    </w:pPr>
    <w:rPr>
      <w:rFonts w:ascii="Cambria" w:hAnsi="Cambria"/>
      <w:b/>
      <w:bCs/>
      <w:i/>
      <w:iCs/>
      <w:sz w:val="28"/>
      <w:szCs w:val="28"/>
    </w:rPr>
  </w:style>
  <w:style w:type="paragraph" w:styleId="Heading3">
    <w:name w:val="heading 3"/>
    <w:basedOn w:val="PolicySubheader"/>
    <w:next w:val="Normal"/>
    <w:link w:val="Heading3Char"/>
    <w:qFormat/>
    <w:rsid w:val="0029313E"/>
    <w:pPr>
      <w:spacing w:before="240"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5B23C5"/>
    <w:pPr>
      <w:widowControl w:val="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C91FBB"/>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NormalIndent">
    <w:name w:val="Normal Indent"/>
    <w:basedOn w:val="Normal"/>
    <w:rsid w:val="000C06AA"/>
    <w:pPr>
      <w:widowControl w:val="0"/>
      <w:ind w:left="360"/>
    </w:pPr>
    <w:rPr>
      <w:szCs w:val="20"/>
    </w:rPr>
  </w:style>
  <w:style w:type="paragraph" w:customStyle="1" w:styleId="PolicyBodyText">
    <w:name w:val="Policy Body Text"/>
    <w:basedOn w:val="Normal"/>
    <w:link w:val="PolicyBodyTextChar"/>
    <w:qFormat/>
    <w:rsid w:val="00FF0E9E"/>
    <w:pPr>
      <w:spacing w:after="120"/>
      <w:ind w:left="360"/>
    </w:pPr>
    <w:rPr>
      <w:szCs w:val="20"/>
    </w:rPr>
  </w:style>
  <w:style w:type="paragraph" w:customStyle="1" w:styleId="PolicyText">
    <w:name w:val="Policy Text"/>
    <w:basedOn w:val="Normal"/>
    <w:rsid w:val="00FF0E9E"/>
    <w:pPr>
      <w:spacing w:after="120"/>
      <w:ind w:left="360"/>
    </w:pPr>
    <w:rPr>
      <w:szCs w:val="20"/>
    </w:rPr>
  </w:style>
  <w:style w:type="character" w:customStyle="1" w:styleId="Heading2Char">
    <w:name w:val="Heading 2 Char"/>
    <w:link w:val="Heading2"/>
    <w:semiHidden/>
    <w:rsid w:val="00F863AA"/>
    <w:rPr>
      <w:rFonts w:ascii="Cambria" w:eastAsia="Times New Roman" w:hAnsi="Cambria" w:cs="Times New Roman"/>
      <w:b/>
      <w:bCs/>
      <w:i/>
      <w:iCs/>
      <w:sz w:val="28"/>
      <w:szCs w:val="28"/>
      <w:lang w:val="en-US" w:eastAsia="en-US"/>
    </w:rPr>
  </w:style>
  <w:style w:type="paragraph" w:styleId="TOC2">
    <w:name w:val="toc 2"/>
    <w:basedOn w:val="Normal"/>
    <w:next w:val="Normal"/>
    <w:autoRedefine/>
    <w:uiPriority w:val="39"/>
    <w:rsid w:val="00F863AA"/>
    <w:pPr>
      <w:ind w:left="220"/>
    </w:pPr>
  </w:style>
  <w:style w:type="character" w:styleId="Emphasis">
    <w:name w:val="Emphasis"/>
    <w:qFormat/>
    <w:rsid w:val="00667AE6"/>
    <w:rPr>
      <w:i/>
      <w:iCs/>
    </w:rPr>
  </w:style>
  <w:style w:type="character" w:customStyle="1" w:styleId="PolicyBodyTextChar">
    <w:name w:val="Policy Body Text Char"/>
    <w:link w:val="PolicyBodyText"/>
    <w:rsid w:val="00865B7F"/>
    <w:rPr>
      <w:rFonts w:ascii="Arial" w:hAnsi="Arial"/>
      <w:sz w:val="22"/>
    </w:rPr>
  </w:style>
  <w:style w:type="character" w:customStyle="1" w:styleId="Heading3Char">
    <w:name w:val="Heading 3 Char"/>
    <w:link w:val="Heading3"/>
    <w:rsid w:val="00A543EE"/>
    <w:rPr>
      <w:rFonts w:ascii="Arial" w:hAnsi="Arial"/>
      <w:b/>
      <w:bCs/>
      <w:color w:val="00527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ineman\AppData\Roaming\Microsoft\Templates\Acceptable%20Use%20Policy%20-%20Expr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50912C1-7B09-4E48-AA14-4A1D1779318F}">
  <ds:schemaRefs>
    <ds:schemaRef ds:uri="http://schemas.openxmlformats.org/officeDocument/2006/bibliography"/>
  </ds:schemaRefs>
</ds:datastoreItem>
</file>

<file path=customXml/itemProps2.xml><?xml version="1.0" encoding="utf-8"?>
<ds:datastoreItem xmlns:ds="http://schemas.openxmlformats.org/officeDocument/2006/customXml" ds:itemID="{11CE3161-4FED-4C3F-8FC3-1363E598E5D2}"/>
</file>

<file path=customXml/itemProps3.xml><?xml version="1.0" encoding="utf-8"?>
<ds:datastoreItem xmlns:ds="http://schemas.openxmlformats.org/officeDocument/2006/customXml" ds:itemID="{04620899-141C-4740-9714-86E9F29287C9}"/>
</file>

<file path=customXml/itemProps4.xml><?xml version="1.0" encoding="utf-8"?>
<ds:datastoreItem xmlns:ds="http://schemas.openxmlformats.org/officeDocument/2006/customXml" ds:itemID="{45C386C4-452E-412A-8073-157FB62A8674}"/>
</file>

<file path=docProps/app.xml><?xml version="1.0" encoding="utf-8"?>
<Properties xmlns="http://schemas.openxmlformats.org/officeDocument/2006/extended-properties" xmlns:vt="http://schemas.openxmlformats.org/officeDocument/2006/docPropsVTypes">
  <Template>Acceptable Use Policy - Express</Template>
  <TotalTime>23</TotalTime>
  <Pages>1</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14508</CharactersWithSpaces>
  <SharedDoc>false</SharedDoc>
  <HLinks>
    <vt:vector size="66" baseType="variant">
      <vt:variant>
        <vt:i4>1179706</vt:i4>
      </vt:variant>
      <vt:variant>
        <vt:i4>62</vt:i4>
      </vt:variant>
      <vt:variant>
        <vt:i4>0</vt:i4>
      </vt:variant>
      <vt:variant>
        <vt:i4>5</vt:i4>
      </vt:variant>
      <vt:variant>
        <vt:lpwstr/>
      </vt:variant>
      <vt:variant>
        <vt:lpwstr>_Toc441493665</vt:lpwstr>
      </vt:variant>
      <vt:variant>
        <vt:i4>1179706</vt:i4>
      </vt:variant>
      <vt:variant>
        <vt:i4>56</vt:i4>
      </vt:variant>
      <vt:variant>
        <vt:i4>0</vt:i4>
      </vt:variant>
      <vt:variant>
        <vt:i4>5</vt:i4>
      </vt:variant>
      <vt:variant>
        <vt:lpwstr/>
      </vt:variant>
      <vt:variant>
        <vt:lpwstr>_Toc441493664</vt:lpwstr>
      </vt:variant>
      <vt:variant>
        <vt:i4>1179706</vt:i4>
      </vt:variant>
      <vt:variant>
        <vt:i4>50</vt:i4>
      </vt:variant>
      <vt:variant>
        <vt:i4>0</vt:i4>
      </vt:variant>
      <vt:variant>
        <vt:i4>5</vt:i4>
      </vt:variant>
      <vt:variant>
        <vt:lpwstr/>
      </vt:variant>
      <vt:variant>
        <vt:lpwstr>_Toc441493663</vt:lpwstr>
      </vt:variant>
      <vt:variant>
        <vt:i4>1179706</vt:i4>
      </vt:variant>
      <vt:variant>
        <vt:i4>44</vt:i4>
      </vt:variant>
      <vt:variant>
        <vt:i4>0</vt:i4>
      </vt:variant>
      <vt:variant>
        <vt:i4>5</vt:i4>
      </vt:variant>
      <vt:variant>
        <vt:lpwstr/>
      </vt:variant>
      <vt:variant>
        <vt:lpwstr>_Toc441493662</vt:lpwstr>
      </vt:variant>
      <vt:variant>
        <vt:i4>1179706</vt:i4>
      </vt:variant>
      <vt:variant>
        <vt:i4>38</vt:i4>
      </vt:variant>
      <vt:variant>
        <vt:i4>0</vt:i4>
      </vt:variant>
      <vt:variant>
        <vt:i4>5</vt:i4>
      </vt:variant>
      <vt:variant>
        <vt:lpwstr/>
      </vt:variant>
      <vt:variant>
        <vt:lpwstr>_Toc441493661</vt:lpwstr>
      </vt:variant>
      <vt:variant>
        <vt:i4>1179706</vt:i4>
      </vt:variant>
      <vt:variant>
        <vt:i4>32</vt:i4>
      </vt:variant>
      <vt:variant>
        <vt:i4>0</vt:i4>
      </vt:variant>
      <vt:variant>
        <vt:i4>5</vt:i4>
      </vt:variant>
      <vt:variant>
        <vt:lpwstr/>
      </vt:variant>
      <vt:variant>
        <vt:lpwstr>_Toc441493660</vt:lpwstr>
      </vt:variant>
      <vt:variant>
        <vt:i4>1114170</vt:i4>
      </vt:variant>
      <vt:variant>
        <vt:i4>26</vt:i4>
      </vt:variant>
      <vt:variant>
        <vt:i4>0</vt:i4>
      </vt:variant>
      <vt:variant>
        <vt:i4>5</vt:i4>
      </vt:variant>
      <vt:variant>
        <vt:lpwstr/>
      </vt:variant>
      <vt:variant>
        <vt:lpwstr>_Toc441493659</vt:lpwstr>
      </vt:variant>
      <vt:variant>
        <vt:i4>1114170</vt:i4>
      </vt:variant>
      <vt:variant>
        <vt:i4>20</vt:i4>
      </vt:variant>
      <vt:variant>
        <vt:i4>0</vt:i4>
      </vt:variant>
      <vt:variant>
        <vt:i4>5</vt:i4>
      </vt:variant>
      <vt:variant>
        <vt:lpwstr/>
      </vt:variant>
      <vt:variant>
        <vt:lpwstr>_Toc441493658</vt:lpwstr>
      </vt:variant>
      <vt:variant>
        <vt:i4>1114170</vt:i4>
      </vt:variant>
      <vt:variant>
        <vt:i4>14</vt:i4>
      </vt:variant>
      <vt:variant>
        <vt:i4>0</vt:i4>
      </vt:variant>
      <vt:variant>
        <vt:i4>5</vt:i4>
      </vt:variant>
      <vt:variant>
        <vt:lpwstr/>
      </vt:variant>
      <vt:variant>
        <vt:lpwstr>_Toc441493657</vt:lpwstr>
      </vt:variant>
      <vt:variant>
        <vt:i4>1114170</vt:i4>
      </vt:variant>
      <vt:variant>
        <vt:i4>8</vt:i4>
      </vt:variant>
      <vt:variant>
        <vt:i4>0</vt:i4>
      </vt:variant>
      <vt:variant>
        <vt:i4>5</vt:i4>
      </vt:variant>
      <vt:variant>
        <vt:lpwstr/>
      </vt:variant>
      <vt:variant>
        <vt:lpwstr>_Toc441493656</vt:lpwstr>
      </vt:variant>
      <vt:variant>
        <vt:i4>1114170</vt:i4>
      </vt:variant>
      <vt:variant>
        <vt:i4>2</vt:i4>
      </vt:variant>
      <vt:variant>
        <vt:i4>0</vt:i4>
      </vt:variant>
      <vt:variant>
        <vt:i4>5</vt:i4>
      </vt:variant>
      <vt:variant>
        <vt:lpwstr/>
      </vt:variant>
      <vt:variant>
        <vt:lpwstr>_Toc441493655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dlineman</dc:creator>
  <cp:keywords/>
  <cp:lastModifiedBy>Scott Parramore</cp:lastModifiedBy>
  <cp:revision>11</cp:revision>
  <dcterms:created xsi:type="dcterms:W3CDTF">2016-03-01T16:01:00Z</dcterms:created>
  <dcterms:modified xsi:type="dcterms:W3CDTF">2017-12-03T21:07:00Z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