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3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3"/>
        <w:gridCol w:w="1434"/>
        <w:gridCol w:w="1664"/>
        <w:gridCol w:w="1934"/>
        <w:gridCol w:w="809"/>
        <w:gridCol w:w="2891"/>
      </w:tblGrid>
      <w:tr w:rsidR="00D13DA3" w:rsidTr="00027B9D">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027B9D">
        <w:tc>
          <w:tcPr>
            <w:tcW w:w="5000" w:type="pct"/>
            <w:gridSpan w:val="6"/>
            <w:tcBorders>
              <w:top w:val="nil"/>
              <w:bottom w:val="nil"/>
            </w:tcBorders>
            <w:shd w:val="clear" w:color="auto" w:fill="CCCCCC"/>
          </w:tcPr>
          <w:p w:rsidR="00D13DA3" w:rsidRPr="00FF6728" w:rsidRDefault="00A827D2" w:rsidP="002B50C6">
            <w:pPr>
              <w:pStyle w:val="policytitle"/>
            </w:pPr>
            <w:r>
              <w:t>Software Use and Licensing</w:t>
            </w:r>
            <w:r w:rsidR="005A4B62" w:rsidRPr="005A4B62">
              <w:t xml:space="preserve"> Policy</w:t>
            </w:r>
          </w:p>
        </w:tc>
      </w:tr>
      <w:tr w:rsidR="002E64BD" w:rsidTr="00610294">
        <w:tc>
          <w:tcPr>
            <w:tcW w:w="561" w:type="pct"/>
            <w:tcBorders>
              <w:top w:val="nil"/>
            </w:tcBorders>
            <w:shd w:val="clear" w:color="auto" w:fill="auto"/>
            <w:tcMar>
              <w:top w:w="29" w:type="dxa"/>
              <w:left w:w="115" w:type="dxa"/>
              <w:bottom w:w="29" w:type="dxa"/>
              <w:right w:w="115" w:type="dxa"/>
            </w:tcMar>
          </w:tcPr>
          <w:p w:rsidR="002E64BD" w:rsidRDefault="002E64BD" w:rsidP="002B50C6">
            <w:pPr>
              <w:pStyle w:val="PolicyHeaderLabel"/>
            </w:pPr>
            <w:r>
              <w:t>Policy #</w:t>
            </w:r>
          </w:p>
        </w:tc>
        <w:tc>
          <w:tcPr>
            <w:tcW w:w="729" w:type="pct"/>
            <w:tcBorders>
              <w:top w:val="nil"/>
            </w:tcBorders>
            <w:shd w:val="clear" w:color="auto" w:fill="auto"/>
            <w:tcMar>
              <w:top w:w="29" w:type="dxa"/>
              <w:left w:w="115" w:type="dxa"/>
              <w:bottom w:w="29" w:type="dxa"/>
              <w:right w:w="115" w:type="dxa"/>
            </w:tcMar>
          </w:tcPr>
          <w:p w:rsidR="002E64BD" w:rsidRDefault="00027B9D" w:rsidP="00074BA0">
            <w:pPr>
              <w:pStyle w:val="PolicyHeaderFill"/>
            </w:pPr>
            <w:r>
              <w:t>CPL-03-03</w:t>
            </w:r>
          </w:p>
        </w:tc>
        <w:tc>
          <w:tcPr>
            <w:tcW w:w="846" w:type="pct"/>
            <w:tcBorders>
              <w:top w:val="nil"/>
            </w:tcBorders>
            <w:shd w:val="clear" w:color="auto" w:fill="auto"/>
            <w:tcMar>
              <w:top w:w="29" w:type="dxa"/>
              <w:left w:w="115" w:type="dxa"/>
              <w:bottom w:w="29" w:type="dxa"/>
              <w:right w:w="115" w:type="dxa"/>
            </w:tcMar>
          </w:tcPr>
          <w:p w:rsidR="002E64BD" w:rsidRDefault="002E64BD" w:rsidP="002B50C6">
            <w:pPr>
              <w:pStyle w:val="PolicyHeaderLabel"/>
            </w:pPr>
            <w:r>
              <w:t>Effective Date</w:t>
            </w:r>
          </w:p>
        </w:tc>
        <w:tc>
          <w:tcPr>
            <w:tcW w:w="983" w:type="pct"/>
            <w:tcBorders>
              <w:top w:val="nil"/>
            </w:tcBorders>
            <w:shd w:val="clear" w:color="auto" w:fill="auto"/>
            <w:tcMar>
              <w:top w:w="29" w:type="dxa"/>
              <w:left w:w="115" w:type="dxa"/>
              <w:bottom w:w="29" w:type="dxa"/>
              <w:right w:w="115" w:type="dxa"/>
            </w:tcMar>
          </w:tcPr>
          <w:p w:rsidR="002E64BD" w:rsidRDefault="00C76B25" w:rsidP="00AE6B51">
            <w:pPr>
              <w:pStyle w:val="PolicyHeaderFill"/>
            </w:pPr>
            <w:r>
              <w:t>MM/DD/YYYY</w:t>
            </w:r>
          </w:p>
        </w:tc>
        <w:tc>
          <w:tcPr>
            <w:tcW w:w="411" w:type="pct"/>
            <w:tcBorders>
              <w:top w:val="nil"/>
            </w:tcBorders>
            <w:shd w:val="clear" w:color="auto" w:fill="auto"/>
            <w:tcMar>
              <w:top w:w="29" w:type="dxa"/>
              <w:left w:w="115" w:type="dxa"/>
              <w:bottom w:w="29" w:type="dxa"/>
              <w:right w:w="115" w:type="dxa"/>
            </w:tcMar>
          </w:tcPr>
          <w:p w:rsidR="002E64BD" w:rsidRDefault="002E64BD" w:rsidP="00AE6B51">
            <w:pPr>
              <w:pStyle w:val="PolicyHeaderLabel"/>
            </w:pPr>
            <w:r>
              <w:t>Email</w:t>
            </w:r>
          </w:p>
        </w:tc>
        <w:tc>
          <w:tcPr>
            <w:tcW w:w="1469" w:type="pct"/>
            <w:tcBorders>
              <w:top w:val="nil"/>
            </w:tcBorders>
            <w:shd w:val="clear" w:color="auto" w:fill="auto"/>
            <w:tcMar>
              <w:top w:w="29" w:type="dxa"/>
              <w:left w:w="115" w:type="dxa"/>
              <w:bottom w:w="29" w:type="dxa"/>
              <w:right w:w="115" w:type="dxa"/>
            </w:tcMar>
          </w:tcPr>
          <w:p w:rsidR="002E64BD" w:rsidRDefault="002E64BD" w:rsidP="00C76B25">
            <w:pPr>
              <w:pStyle w:val="PolicyHeaderFill"/>
            </w:pPr>
            <w:r>
              <w:t>policy</w:t>
            </w:r>
            <w:r w:rsidRPr="00706542">
              <w:t>@</w:t>
            </w:r>
            <w:r w:rsidR="00C76B25">
              <w:t>companyx</w:t>
            </w:r>
            <w:r w:rsidR="005C2789">
              <w:t>.com</w:t>
            </w:r>
          </w:p>
        </w:tc>
      </w:tr>
      <w:tr w:rsidR="00980BB7" w:rsidTr="00610294">
        <w:tc>
          <w:tcPr>
            <w:tcW w:w="561" w:type="pct"/>
            <w:shd w:val="clear" w:color="auto" w:fill="auto"/>
            <w:tcMar>
              <w:top w:w="29" w:type="dxa"/>
              <w:left w:w="115" w:type="dxa"/>
              <w:bottom w:w="29" w:type="dxa"/>
              <w:right w:w="115" w:type="dxa"/>
            </w:tcMar>
          </w:tcPr>
          <w:p w:rsidR="00980BB7" w:rsidRDefault="00980BB7" w:rsidP="002B50C6">
            <w:pPr>
              <w:pStyle w:val="PolicyHeaderLabel"/>
            </w:pPr>
            <w:r>
              <w:t>Version</w:t>
            </w:r>
          </w:p>
        </w:tc>
        <w:tc>
          <w:tcPr>
            <w:tcW w:w="729" w:type="pct"/>
            <w:shd w:val="clear" w:color="auto" w:fill="auto"/>
            <w:tcMar>
              <w:top w:w="29" w:type="dxa"/>
              <w:left w:w="115" w:type="dxa"/>
              <w:bottom w:w="29" w:type="dxa"/>
              <w:right w:w="115" w:type="dxa"/>
            </w:tcMar>
          </w:tcPr>
          <w:p w:rsidR="00980BB7" w:rsidRDefault="00980BB7" w:rsidP="002B50C6">
            <w:pPr>
              <w:pStyle w:val="PolicyHeaderFill"/>
            </w:pPr>
            <w:r>
              <w:t>1.0</w:t>
            </w:r>
          </w:p>
        </w:tc>
        <w:tc>
          <w:tcPr>
            <w:tcW w:w="846" w:type="pct"/>
            <w:shd w:val="clear" w:color="auto" w:fill="auto"/>
            <w:tcMar>
              <w:top w:w="29" w:type="dxa"/>
              <w:left w:w="115" w:type="dxa"/>
              <w:bottom w:w="29" w:type="dxa"/>
              <w:right w:w="115" w:type="dxa"/>
            </w:tcMar>
          </w:tcPr>
          <w:p w:rsidR="00980BB7" w:rsidRDefault="00980BB7" w:rsidP="002B50C6">
            <w:pPr>
              <w:pStyle w:val="PolicyHeaderLabel"/>
            </w:pPr>
            <w:r>
              <w:t xml:space="preserve">Contact </w:t>
            </w:r>
          </w:p>
        </w:tc>
        <w:tc>
          <w:tcPr>
            <w:tcW w:w="983" w:type="pct"/>
            <w:shd w:val="clear" w:color="auto" w:fill="auto"/>
            <w:tcMar>
              <w:top w:w="29" w:type="dxa"/>
              <w:left w:w="115" w:type="dxa"/>
              <w:bottom w:w="29" w:type="dxa"/>
              <w:right w:w="115" w:type="dxa"/>
            </w:tcMar>
          </w:tcPr>
          <w:p w:rsidR="00980BB7" w:rsidRDefault="00980BB7" w:rsidP="00A121C7">
            <w:pPr>
              <w:pStyle w:val="PolicyHeaderFill"/>
            </w:pPr>
            <w:r w:rsidRPr="00083F8B">
              <w:rPr>
                <w:highlight w:val="yellow"/>
              </w:rPr>
              <w:t>Policy Contact</w:t>
            </w:r>
          </w:p>
        </w:tc>
        <w:tc>
          <w:tcPr>
            <w:tcW w:w="411" w:type="pct"/>
            <w:shd w:val="clear" w:color="auto" w:fill="auto"/>
            <w:tcMar>
              <w:top w:w="29" w:type="dxa"/>
              <w:left w:w="115" w:type="dxa"/>
              <w:bottom w:w="29" w:type="dxa"/>
              <w:right w:w="115" w:type="dxa"/>
            </w:tcMar>
          </w:tcPr>
          <w:p w:rsidR="00980BB7" w:rsidRDefault="00980BB7" w:rsidP="00A121C7">
            <w:pPr>
              <w:pStyle w:val="PolicyHeaderLabel"/>
            </w:pPr>
            <w:r>
              <w:t>Phone</w:t>
            </w:r>
          </w:p>
        </w:tc>
        <w:tc>
          <w:tcPr>
            <w:tcW w:w="1469" w:type="pct"/>
            <w:shd w:val="clear" w:color="auto" w:fill="auto"/>
            <w:tcMar>
              <w:top w:w="29" w:type="dxa"/>
              <w:left w:w="115" w:type="dxa"/>
              <w:bottom w:w="29" w:type="dxa"/>
              <w:right w:w="115" w:type="dxa"/>
            </w:tcMar>
          </w:tcPr>
          <w:p w:rsidR="00980BB7" w:rsidRDefault="00980BB7" w:rsidP="00A121C7">
            <w:pPr>
              <w:pStyle w:val="PolicyHeaderFill"/>
            </w:pPr>
            <w:r>
              <w:t>888.</w:t>
            </w:r>
            <w:r w:rsidR="00C76B25">
              <w:t>641.0500</w:t>
            </w:r>
          </w:p>
        </w:tc>
      </w:tr>
    </w:tbl>
    <w:p w:rsidR="00610294" w:rsidRDefault="00610294" w:rsidP="00FB50F1">
      <w:pPr>
        <w:pStyle w:val="TOC2"/>
        <w:tabs>
          <w:tab w:val="right" w:leader="dot" w:pos="9350"/>
        </w:tabs>
        <w:spacing w:before="120" w:after="120"/>
        <w:ind w:left="0"/>
        <w:rPr>
          <w:b/>
          <w:color w:val="1F497D"/>
        </w:rPr>
      </w:pPr>
    </w:p>
    <w:p w:rsidR="008B63E6" w:rsidRPr="008B63E6" w:rsidRDefault="008B63E6" w:rsidP="00FB50F1">
      <w:pPr>
        <w:pStyle w:val="TOC2"/>
        <w:tabs>
          <w:tab w:val="right" w:leader="dot" w:pos="9350"/>
        </w:tabs>
        <w:spacing w:before="120" w:after="120"/>
        <w:ind w:left="0"/>
        <w:rPr>
          <w:b/>
          <w:color w:val="1F497D"/>
        </w:rPr>
      </w:pPr>
      <w:bookmarkStart w:id="0" w:name="_GoBack"/>
      <w:bookmarkEnd w:id="0"/>
      <w:r w:rsidRPr="008B63E6">
        <w:rPr>
          <w:b/>
          <w:color w:val="1F497D"/>
        </w:rPr>
        <w:t>Table of Contents</w:t>
      </w:r>
    </w:p>
    <w:p w:rsidR="00C76B25" w:rsidRPr="00A80A85" w:rsidRDefault="003B4488">
      <w:pPr>
        <w:pStyle w:val="TOC1"/>
        <w:tabs>
          <w:tab w:val="right" w:leader="dot" w:pos="9350"/>
        </w:tabs>
        <w:rPr>
          <w:rFonts w:ascii="Calibri" w:hAnsi="Calibri"/>
          <w:noProof/>
          <w:szCs w:val="22"/>
        </w:rPr>
      </w:pPr>
      <w:r>
        <w:fldChar w:fldCharType="begin"/>
      </w:r>
      <w:r w:rsidR="008B63E6">
        <w:instrText xml:space="preserve"> TOC \o "1-1" \h \z \u \t "Heading 3,2" </w:instrText>
      </w:r>
      <w:r>
        <w:fldChar w:fldCharType="separate"/>
      </w:r>
      <w:hyperlink w:anchor="_Toc457462839" w:history="1">
        <w:r w:rsidR="00C76B25" w:rsidRPr="00166AD0">
          <w:rPr>
            <w:rStyle w:val="Hyperlink"/>
            <w:bCs/>
            <w:noProof/>
          </w:rPr>
          <w:t>Purpose</w:t>
        </w:r>
        <w:r w:rsidR="00C76B25">
          <w:rPr>
            <w:noProof/>
            <w:webHidden/>
          </w:rPr>
          <w:tab/>
        </w:r>
        <w:r w:rsidR="00C76B25">
          <w:rPr>
            <w:noProof/>
            <w:webHidden/>
          </w:rPr>
          <w:fldChar w:fldCharType="begin"/>
        </w:r>
        <w:r w:rsidR="00C76B25">
          <w:rPr>
            <w:noProof/>
            <w:webHidden/>
          </w:rPr>
          <w:instrText xml:space="preserve"> PAGEREF _Toc457462839 \h </w:instrText>
        </w:r>
        <w:r w:rsidR="00C76B25">
          <w:rPr>
            <w:noProof/>
            <w:webHidden/>
          </w:rPr>
        </w:r>
        <w:r w:rsidR="00C76B25">
          <w:rPr>
            <w:noProof/>
            <w:webHidden/>
          </w:rPr>
          <w:fldChar w:fldCharType="separate"/>
        </w:r>
        <w:r w:rsidR="00C76B25">
          <w:rPr>
            <w:noProof/>
            <w:webHidden/>
          </w:rPr>
          <w:t>1</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40" w:history="1">
        <w:r w:rsidR="00C76B25" w:rsidRPr="00166AD0">
          <w:rPr>
            <w:rStyle w:val="Hyperlink"/>
            <w:bCs/>
            <w:noProof/>
          </w:rPr>
          <w:t>Scope</w:t>
        </w:r>
        <w:r w:rsidR="00C76B25">
          <w:rPr>
            <w:noProof/>
            <w:webHidden/>
          </w:rPr>
          <w:tab/>
        </w:r>
        <w:r w:rsidR="00C76B25">
          <w:rPr>
            <w:noProof/>
            <w:webHidden/>
          </w:rPr>
          <w:fldChar w:fldCharType="begin"/>
        </w:r>
        <w:r w:rsidR="00C76B25">
          <w:rPr>
            <w:noProof/>
            <w:webHidden/>
          </w:rPr>
          <w:instrText xml:space="preserve"> PAGEREF _Toc457462840 \h </w:instrText>
        </w:r>
        <w:r w:rsidR="00C76B25">
          <w:rPr>
            <w:noProof/>
            <w:webHidden/>
          </w:rPr>
        </w:r>
        <w:r w:rsidR="00C76B25">
          <w:rPr>
            <w:noProof/>
            <w:webHidden/>
          </w:rPr>
          <w:fldChar w:fldCharType="separate"/>
        </w:r>
        <w:r w:rsidR="00C76B25">
          <w:rPr>
            <w:noProof/>
            <w:webHidden/>
          </w:rPr>
          <w:t>1</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41" w:history="1">
        <w:r w:rsidR="00C76B25" w:rsidRPr="00166AD0">
          <w:rPr>
            <w:rStyle w:val="Hyperlink"/>
            <w:bCs/>
            <w:noProof/>
          </w:rPr>
          <w:t>Policy</w:t>
        </w:r>
        <w:r w:rsidR="00C76B25">
          <w:rPr>
            <w:noProof/>
            <w:webHidden/>
          </w:rPr>
          <w:tab/>
        </w:r>
        <w:r w:rsidR="00C76B25">
          <w:rPr>
            <w:noProof/>
            <w:webHidden/>
          </w:rPr>
          <w:fldChar w:fldCharType="begin"/>
        </w:r>
        <w:r w:rsidR="00C76B25">
          <w:rPr>
            <w:noProof/>
            <w:webHidden/>
          </w:rPr>
          <w:instrText xml:space="preserve"> PAGEREF _Toc457462841 \h </w:instrText>
        </w:r>
        <w:r w:rsidR="00C76B25">
          <w:rPr>
            <w:noProof/>
            <w:webHidden/>
          </w:rPr>
        </w:r>
        <w:r w:rsidR="00C76B25">
          <w:rPr>
            <w:noProof/>
            <w:webHidden/>
          </w:rPr>
          <w:fldChar w:fldCharType="separate"/>
        </w:r>
        <w:r w:rsidR="00C76B25">
          <w:rPr>
            <w:noProof/>
            <w:webHidden/>
          </w:rPr>
          <w:t>1</w:t>
        </w:r>
        <w:r w:rsidR="00C76B25">
          <w:rPr>
            <w:noProof/>
            <w:webHidden/>
          </w:rPr>
          <w:fldChar w:fldCharType="end"/>
        </w:r>
      </w:hyperlink>
    </w:p>
    <w:p w:rsidR="00C76B25" w:rsidRPr="00A80A85" w:rsidRDefault="002E312B">
      <w:pPr>
        <w:pStyle w:val="TOC2"/>
        <w:tabs>
          <w:tab w:val="right" w:leader="dot" w:pos="9350"/>
        </w:tabs>
        <w:rPr>
          <w:rFonts w:ascii="Calibri" w:hAnsi="Calibri"/>
          <w:noProof/>
          <w:szCs w:val="22"/>
        </w:rPr>
      </w:pPr>
      <w:hyperlink w:anchor="_Toc457462842" w:history="1">
        <w:r w:rsidR="00C76B25" w:rsidRPr="00166AD0">
          <w:rPr>
            <w:rStyle w:val="Hyperlink"/>
            <w:noProof/>
          </w:rPr>
          <w:t>Copyright Protection</w:t>
        </w:r>
        <w:r w:rsidR="00C76B25">
          <w:rPr>
            <w:noProof/>
            <w:webHidden/>
          </w:rPr>
          <w:tab/>
        </w:r>
        <w:r w:rsidR="00C76B25">
          <w:rPr>
            <w:noProof/>
            <w:webHidden/>
          </w:rPr>
          <w:fldChar w:fldCharType="begin"/>
        </w:r>
        <w:r w:rsidR="00C76B25">
          <w:rPr>
            <w:noProof/>
            <w:webHidden/>
          </w:rPr>
          <w:instrText xml:space="preserve"> PAGEREF _Toc457462842 \h </w:instrText>
        </w:r>
        <w:r w:rsidR="00C76B25">
          <w:rPr>
            <w:noProof/>
            <w:webHidden/>
          </w:rPr>
        </w:r>
        <w:r w:rsidR="00C76B25">
          <w:rPr>
            <w:noProof/>
            <w:webHidden/>
          </w:rPr>
          <w:fldChar w:fldCharType="separate"/>
        </w:r>
        <w:r w:rsidR="00C76B25">
          <w:rPr>
            <w:noProof/>
            <w:webHidden/>
          </w:rPr>
          <w:t>1</w:t>
        </w:r>
        <w:r w:rsidR="00C76B25">
          <w:rPr>
            <w:noProof/>
            <w:webHidden/>
          </w:rPr>
          <w:fldChar w:fldCharType="end"/>
        </w:r>
      </w:hyperlink>
    </w:p>
    <w:p w:rsidR="00C76B25" w:rsidRPr="00A80A85" w:rsidRDefault="002E312B">
      <w:pPr>
        <w:pStyle w:val="TOC2"/>
        <w:tabs>
          <w:tab w:val="right" w:leader="dot" w:pos="9350"/>
        </w:tabs>
        <w:rPr>
          <w:rFonts w:ascii="Calibri" w:hAnsi="Calibri"/>
          <w:noProof/>
          <w:szCs w:val="22"/>
        </w:rPr>
      </w:pPr>
      <w:hyperlink w:anchor="_Toc457462843" w:history="1">
        <w:r w:rsidR="00C76B25" w:rsidRPr="00166AD0">
          <w:rPr>
            <w:rStyle w:val="Hyperlink"/>
            <w:noProof/>
          </w:rPr>
          <w:t>Software Procurement</w:t>
        </w:r>
        <w:r w:rsidR="00C76B25">
          <w:rPr>
            <w:noProof/>
            <w:webHidden/>
          </w:rPr>
          <w:tab/>
        </w:r>
        <w:r w:rsidR="00C76B25">
          <w:rPr>
            <w:noProof/>
            <w:webHidden/>
          </w:rPr>
          <w:fldChar w:fldCharType="begin"/>
        </w:r>
        <w:r w:rsidR="00C76B25">
          <w:rPr>
            <w:noProof/>
            <w:webHidden/>
          </w:rPr>
          <w:instrText xml:space="preserve"> PAGEREF _Toc457462843 \h </w:instrText>
        </w:r>
        <w:r w:rsidR="00C76B25">
          <w:rPr>
            <w:noProof/>
            <w:webHidden/>
          </w:rPr>
        </w:r>
        <w:r w:rsidR="00C76B25">
          <w:rPr>
            <w:noProof/>
            <w:webHidden/>
          </w:rPr>
          <w:fldChar w:fldCharType="separate"/>
        </w:r>
        <w:r w:rsidR="00C76B25">
          <w:rPr>
            <w:noProof/>
            <w:webHidden/>
          </w:rPr>
          <w:t>1</w:t>
        </w:r>
        <w:r w:rsidR="00C76B25">
          <w:rPr>
            <w:noProof/>
            <w:webHidden/>
          </w:rPr>
          <w:fldChar w:fldCharType="end"/>
        </w:r>
      </w:hyperlink>
    </w:p>
    <w:p w:rsidR="00C76B25" w:rsidRPr="00A80A85" w:rsidRDefault="002E312B">
      <w:pPr>
        <w:pStyle w:val="TOC2"/>
        <w:tabs>
          <w:tab w:val="right" w:leader="dot" w:pos="9350"/>
        </w:tabs>
        <w:rPr>
          <w:rFonts w:ascii="Calibri" w:hAnsi="Calibri"/>
          <w:noProof/>
          <w:szCs w:val="22"/>
        </w:rPr>
      </w:pPr>
      <w:hyperlink w:anchor="_Toc457462844" w:history="1">
        <w:r w:rsidR="00C76B25" w:rsidRPr="00166AD0">
          <w:rPr>
            <w:rStyle w:val="Hyperlink"/>
            <w:noProof/>
          </w:rPr>
          <w:t>Acceptable Use and Ownership</w:t>
        </w:r>
        <w:r w:rsidR="00C76B25">
          <w:rPr>
            <w:noProof/>
            <w:webHidden/>
          </w:rPr>
          <w:tab/>
        </w:r>
        <w:r w:rsidR="00C76B25">
          <w:rPr>
            <w:noProof/>
            <w:webHidden/>
          </w:rPr>
          <w:fldChar w:fldCharType="begin"/>
        </w:r>
        <w:r w:rsidR="00C76B25">
          <w:rPr>
            <w:noProof/>
            <w:webHidden/>
          </w:rPr>
          <w:instrText xml:space="preserve"> PAGEREF _Toc457462844 \h </w:instrText>
        </w:r>
        <w:r w:rsidR="00C76B25">
          <w:rPr>
            <w:noProof/>
            <w:webHidden/>
          </w:rPr>
        </w:r>
        <w:r w:rsidR="00C76B25">
          <w:rPr>
            <w:noProof/>
            <w:webHidden/>
          </w:rPr>
          <w:fldChar w:fldCharType="separate"/>
        </w:r>
        <w:r w:rsidR="00C76B25">
          <w:rPr>
            <w:noProof/>
            <w:webHidden/>
          </w:rPr>
          <w:t>2</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45" w:history="1">
        <w:r w:rsidR="00C76B25" w:rsidRPr="00166AD0">
          <w:rPr>
            <w:rStyle w:val="Hyperlink"/>
            <w:bCs/>
            <w:noProof/>
          </w:rPr>
          <w:t>Violations</w:t>
        </w:r>
        <w:r w:rsidR="00C76B25">
          <w:rPr>
            <w:noProof/>
            <w:webHidden/>
          </w:rPr>
          <w:tab/>
        </w:r>
        <w:r w:rsidR="00C76B25">
          <w:rPr>
            <w:noProof/>
            <w:webHidden/>
          </w:rPr>
          <w:fldChar w:fldCharType="begin"/>
        </w:r>
        <w:r w:rsidR="00C76B25">
          <w:rPr>
            <w:noProof/>
            <w:webHidden/>
          </w:rPr>
          <w:instrText xml:space="preserve"> PAGEREF _Toc457462845 \h </w:instrText>
        </w:r>
        <w:r w:rsidR="00C76B25">
          <w:rPr>
            <w:noProof/>
            <w:webHidden/>
          </w:rPr>
        </w:r>
        <w:r w:rsidR="00C76B25">
          <w:rPr>
            <w:noProof/>
            <w:webHidden/>
          </w:rPr>
          <w:fldChar w:fldCharType="separate"/>
        </w:r>
        <w:r w:rsidR="00C76B25">
          <w:rPr>
            <w:noProof/>
            <w:webHidden/>
          </w:rPr>
          <w:t>2</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46" w:history="1">
        <w:r w:rsidR="00C76B25" w:rsidRPr="00166AD0">
          <w:rPr>
            <w:rStyle w:val="Hyperlink"/>
            <w:bCs/>
            <w:noProof/>
          </w:rPr>
          <w:t>Definitions</w:t>
        </w:r>
        <w:r w:rsidR="00C76B25">
          <w:rPr>
            <w:noProof/>
            <w:webHidden/>
          </w:rPr>
          <w:tab/>
        </w:r>
        <w:r w:rsidR="00C76B25">
          <w:rPr>
            <w:noProof/>
            <w:webHidden/>
          </w:rPr>
          <w:fldChar w:fldCharType="begin"/>
        </w:r>
        <w:r w:rsidR="00C76B25">
          <w:rPr>
            <w:noProof/>
            <w:webHidden/>
          </w:rPr>
          <w:instrText xml:space="preserve"> PAGEREF _Toc457462846 \h </w:instrText>
        </w:r>
        <w:r w:rsidR="00C76B25">
          <w:rPr>
            <w:noProof/>
            <w:webHidden/>
          </w:rPr>
        </w:r>
        <w:r w:rsidR="00C76B25">
          <w:rPr>
            <w:noProof/>
            <w:webHidden/>
          </w:rPr>
          <w:fldChar w:fldCharType="separate"/>
        </w:r>
        <w:r w:rsidR="00C76B25">
          <w:rPr>
            <w:noProof/>
            <w:webHidden/>
          </w:rPr>
          <w:t>2</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47" w:history="1">
        <w:r w:rsidR="00C76B25" w:rsidRPr="00166AD0">
          <w:rPr>
            <w:rStyle w:val="Hyperlink"/>
            <w:noProof/>
          </w:rPr>
          <w:t>References</w:t>
        </w:r>
        <w:r w:rsidR="00C76B25">
          <w:rPr>
            <w:noProof/>
            <w:webHidden/>
          </w:rPr>
          <w:tab/>
        </w:r>
        <w:r w:rsidR="00C76B25">
          <w:rPr>
            <w:noProof/>
            <w:webHidden/>
          </w:rPr>
          <w:fldChar w:fldCharType="begin"/>
        </w:r>
        <w:r w:rsidR="00C76B25">
          <w:rPr>
            <w:noProof/>
            <w:webHidden/>
          </w:rPr>
          <w:instrText xml:space="preserve"> PAGEREF _Toc457462847 \h </w:instrText>
        </w:r>
        <w:r w:rsidR="00C76B25">
          <w:rPr>
            <w:noProof/>
            <w:webHidden/>
          </w:rPr>
        </w:r>
        <w:r w:rsidR="00C76B25">
          <w:rPr>
            <w:noProof/>
            <w:webHidden/>
          </w:rPr>
          <w:fldChar w:fldCharType="separate"/>
        </w:r>
        <w:r w:rsidR="00C76B25">
          <w:rPr>
            <w:noProof/>
            <w:webHidden/>
          </w:rPr>
          <w:t>3</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48" w:history="1">
        <w:r w:rsidR="00C76B25" w:rsidRPr="00166AD0">
          <w:rPr>
            <w:rStyle w:val="Hyperlink"/>
            <w:noProof/>
          </w:rPr>
          <w:t>Related Documents</w:t>
        </w:r>
        <w:r w:rsidR="00C76B25">
          <w:rPr>
            <w:noProof/>
            <w:webHidden/>
          </w:rPr>
          <w:tab/>
        </w:r>
        <w:r w:rsidR="00C76B25">
          <w:rPr>
            <w:noProof/>
            <w:webHidden/>
          </w:rPr>
          <w:fldChar w:fldCharType="begin"/>
        </w:r>
        <w:r w:rsidR="00C76B25">
          <w:rPr>
            <w:noProof/>
            <w:webHidden/>
          </w:rPr>
          <w:instrText xml:space="preserve"> PAGEREF _Toc457462848 \h </w:instrText>
        </w:r>
        <w:r w:rsidR="00C76B25">
          <w:rPr>
            <w:noProof/>
            <w:webHidden/>
          </w:rPr>
        </w:r>
        <w:r w:rsidR="00C76B25">
          <w:rPr>
            <w:noProof/>
            <w:webHidden/>
          </w:rPr>
          <w:fldChar w:fldCharType="separate"/>
        </w:r>
        <w:r w:rsidR="00C76B25">
          <w:rPr>
            <w:noProof/>
            <w:webHidden/>
          </w:rPr>
          <w:t>3</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49" w:history="1">
        <w:r w:rsidR="00C76B25" w:rsidRPr="00166AD0">
          <w:rPr>
            <w:rStyle w:val="Hyperlink"/>
            <w:bCs/>
            <w:noProof/>
          </w:rPr>
          <w:t>Approval and Ownership</w:t>
        </w:r>
        <w:r w:rsidR="00C76B25">
          <w:rPr>
            <w:noProof/>
            <w:webHidden/>
          </w:rPr>
          <w:tab/>
        </w:r>
        <w:r w:rsidR="00C76B25">
          <w:rPr>
            <w:noProof/>
            <w:webHidden/>
          </w:rPr>
          <w:fldChar w:fldCharType="begin"/>
        </w:r>
        <w:r w:rsidR="00C76B25">
          <w:rPr>
            <w:noProof/>
            <w:webHidden/>
          </w:rPr>
          <w:instrText xml:space="preserve"> PAGEREF _Toc457462849 \h </w:instrText>
        </w:r>
        <w:r w:rsidR="00C76B25">
          <w:rPr>
            <w:noProof/>
            <w:webHidden/>
          </w:rPr>
        </w:r>
        <w:r w:rsidR="00C76B25">
          <w:rPr>
            <w:noProof/>
            <w:webHidden/>
          </w:rPr>
          <w:fldChar w:fldCharType="separate"/>
        </w:r>
        <w:r w:rsidR="00C76B25">
          <w:rPr>
            <w:noProof/>
            <w:webHidden/>
          </w:rPr>
          <w:t>3</w:t>
        </w:r>
        <w:r w:rsidR="00C76B25">
          <w:rPr>
            <w:noProof/>
            <w:webHidden/>
          </w:rPr>
          <w:fldChar w:fldCharType="end"/>
        </w:r>
      </w:hyperlink>
    </w:p>
    <w:p w:rsidR="00C76B25" w:rsidRPr="00A80A85" w:rsidRDefault="002E312B">
      <w:pPr>
        <w:pStyle w:val="TOC1"/>
        <w:tabs>
          <w:tab w:val="right" w:leader="dot" w:pos="9350"/>
        </w:tabs>
        <w:rPr>
          <w:rFonts w:ascii="Calibri" w:hAnsi="Calibri"/>
          <w:noProof/>
          <w:szCs w:val="22"/>
        </w:rPr>
      </w:pPr>
      <w:hyperlink w:anchor="_Toc457462850" w:history="1">
        <w:r w:rsidR="00C76B25" w:rsidRPr="00166AD0">
          <w:rPr>
            <w:rStyle w:val="Hyperlink"/>
            <w:bCs/>
            <w:noProof/>
          </w:rPr>
          <w:t>Revision History</w:t>
        </w:r>
        <w:r w:rsidR="00C76B25">
          <w:rPr>
            <w:noProof/>
            <w:webHidden/>
          </w:rPr>
          <w:tab/>
        </w:r>
        <w:r w:rsidR="00C76B25">
          <w:rPr>
            <w:noProof/>
            <w:webHidden/>
          </w:rPr>
          <w:fldChar w:fldCharType="begin"/>
        </w:r>
        <w:r w:rsidR="00C76B25">
          <w:rPr>
            <w:noProof/>
            <w:webHidden/>
          </w:rPr>
          <w:instrText xml:space="preserve"> PAGEREF _Toc457462850 \h </w:instrText>
        </w:r>
        <w:r w:rsidR="00C76B25">
          <w:rPr>
            <w:noProof/>
            <w:webHidden/>
          </w:rPr>
        </w:r>
        <w:r w:rsidR="00C76B25">
          <w:rPr>
            <w:noProof/>
            <w:webHidden/>
          </w:rPr>
          <w:fldChar w:fldCharType="separate"/>
        </w:r>
        <w:r w:rsidR="00C76B25">
          <w:rPr>
            <w:noProof/>
            <w:webHidden/>
          </w:rPr>
          <w:t>3</w:t>
        </w:r>
        <w:r w:rsidR="00C76B25">
          <w:rPr>
            <w:noProof/>
            <w:webHidden/>
          </w:rPr>
          <w:fldChar w:fldCharType="end"/>
        </w:r>
      </w:hyperlink>
    </w:p>
    <w:p w:rsidR="0077342D" w:rsidRPr="00074BA0" w:rsidRDefault="003B4488" w:rsidP="005A4B62">
      <w:pPr>
        <w:pStyle w:val="TOC1"/>
        <w:tabs>
          <w:tab w:val="right" w:leader="dot" w:pos="9350"/>
        </w:tabs>
      </w:pPr>
      <w:r>
        <w:fldChar w:fldCharType="end"/>
      </w:r>
    </w:p>
    <w:p w:rsidR="00D13DA3" w:rsidRPr="003F09FA" w:rsidRDefault="00A437C9" w:rsidP="003F09FA">
      <w:pPr>
        <w:pStyle w:val="PolicyElementHeader"/>
        <w:rPr>
          <w:bCs/>
          <w:color w:val="00527A"/>
        </w:rPr>
      </w:pPr>
      <w:bookmarkStart w:id="1" w:name="_Toc457462839"/>
      <w:r w:rsidRPr="003F09FA">
        <w:rPr>
          <w:bCs/>
          <w:color w:val="00527A"/>
        </w:rPr>
        <w:t>Purpose</w:t>
      </w:r>
      <w:bookmarkEnd w:id="1"/>
    </w:p>
    <w:p w:rsidR="00F51BD1" w:rsidRPr="0077342D" w:rsidRDefault="005A4B62">
      <w:r w:rsidRPr="005A4B62">
        <w:t xml:space="preserve">This policy defines the requirements </w:t>
      </w:r>
      <w:r w:rsidR="00433ADB">
        <w:t xml:space="preserve">for compliance with software license agreements and related copyrights on all </w:t>
      </w:r>
      <w:r w:rsidR="003F2247">
        <w:t>Company X</w:t>
      </w:r>
      <w:r w:rsidRPr="005A4B62">
        <w:t xml:space="preserve"> computer and communications information s</w:t>
      </w:r>
      <w:r w:rsidR="00433ADB">
        <w:t>ystem</w:t>
      </w:r>
      <w:r w:rsidRPr="005A4B62">
        <w:t>.</w:t>
      </w:r>
      <w:r w:rsidR="0077342D" w:rsidRPr="0077342D">
        <w:t xml:space="preserve">   </w:t>
      </w:r>
      <w:r w:rsidR="00A827D2" w:rsidRPr="0012759E">
        <w:t xml:space="preserve">Company </w:t>
      </w:r>
      <w:r w:rsidR="00433ADB">
        <w:t xml:space="preserve">X </w:t>
      </w:r>
      <w:r w:rsidR="00A827D2" w:rsidRPr="0012759E">
        <w:t xml:space="preserve">is licensed to use the computer software from a variety of </w:t>
      </w:r>
      <w:r w:rsidR="00433ADB">
        <w:t xml:space="preserve">vendors and other sources.  </w:t>
      </w:r>
      <w:r w:rsidR="00A827D2" w:rsidRPr="0012759E">
        <w:t xml:space="preserve">Company </w:t>
      </w:r>
      <w:r w:rsidR="00433ADB">
        <w:t xml:space="preserve">X </w:t>
      </w:r>
      <w:r w:rsidR="00A827D2" w:rsidRPr="0012759E">
        <w:t xml:space="preserve">does not </w:t>
      </w:r>
      <w:r w:rsidR="00A827D2" w:rsidRPr="0012759E">
        <w:rPr>
          <w:b/>
          <w:i/>
        </w:rPr>
        <w:t>own</w:t>
      </w:r>
      <w:r w:rsidR="00A827D2" w:rsidRPr="0012759E">
        <w:t xml:space="preserve"> this software or its related documentation and, unless specifically authorized in the license for the software, does not have the right to reproduce it.  </w:t>
      </w:r>
    </w:p>
    <w:p w:rsidR="00A437C9" w:rsidRPr="003F09FA" w:rsidRDefault="00A437C9" w:rsidP="003F09FA">
      <w:pPr>
        <w:pStyle w:val="PolicyElementHeader"/>
        <w:rPr>
          <w:bCs/>
          <w:color w:val="00527A"/>
        </w:rPr>
      </w:pPr>
      <w:bookmarkStart w:id="2" w:name="_Toc457462840"/>
      <w:r w:rsidRPr="003F09FA">
        <w:rPr>
          <w:bCs/>
          <w:color w:val="00527A"/>
        </w:rPr>
        <w:t>Scope</w:t>
      </w:r>
      <w:bookmarkEnd w:id="2"/>
    </w:p>
    <w:p w:rsidR="00A437C9" w:rsidRPr="0077342D" w:rsidRDefault="005A4B62">
      <w:r w:rsidRPr="005A4B62">
        <w:t xml:space="preserve">This </w:t>
      </w:r>
      <w:r>
        <w:t>policy</w:t>
      </w:r>
      <w:r w:rsidRPr="005A4B62">
        <w:t xml:space="preserve"> applies to all </w:t>
      </w:r>
      <w:r w:rsidR="003F2247">
        <w:t>Company X</w:t>
      </w:r>
      <w:r w:rsidRPr="005A4B62">
        <w:t xml:space="preserve"> </w:t>
      </w:r>
      <w:r w:rsidR="00A827D2" w:rsidRPr="0012759E">
        <w:t xml:space="preserve">users </w:t>
      </w:r>
      <w:r w:rsidR="00C76B25">
        <w:t xml:space="preserve">and third parties </w:t>
      </w:r>
      <w:r w:rsidR="00A827D2" w:rsidRPr="0012759E">
        <w:t>who use proprietary or copyrighted software.</w:t>
      </w:r>
      <w:r w:rsidR="0077342D" w:rsidRPr="0077342D">
        <w:t xml:space="preserve">             </w:t>
      </w:r>
    </w:p>
    <w:p w:rsidR="00A437C9" w:rsidRPr="003F09FA" w:rsidRDefault="00A437C9" w:rsidP="003F09FA">
      <w:pPr>
        <w:pStyle w:val="PolicyElementHeader"/>
        <w:rPr>
          <w:bCs/>
          <w:color w:val="00527A"/>
        </w:rPr>
      </w:pPr>
      <w:bookmarkStart w:id="3" w:name="_Toc457462841"/>
      <w:r w:rsidRPr="003F09FA">
        <w:rPr>
          <w:bCs/>
          <w:color w:val="00527A"/>
        </w:rPr>
        <w:t>Policy</w:t>
      </w:r>
      <w:bookmarkEnd w:id="3"/>
    </w:p>
    <w:p w:rsidR="00813666" w:rsidRPr="00BD7490" w:rsidRDefault="00BD7490" w:rsidP="00BD7490">
      <w:pPr>
        <w:pStyle w:val="Heading3"/>
        <w:rPr>
          <w:rStyle w:val="Strong"/>
          <w:b/>
          <w:bCs/>
        </w:rPr>
      </w:pPr>
      <w:bookmarkStart w:id="4" w:name="_Toc457462842"/>
      <w:r w:rsidRPr="00BD7490">
        <w:rPr>
          <w:rStyle w:val="Strong"/>
          <w:b/>
          <w:bCs/>
        </w:rPr>
        <w:t>Copyright Protection</w:t>
      </w:r>
      <w:bookmarkEnd w:id="4"/>
    </w:p>
    <w:p w:rsidR="00A827D2" w:rsidRDefault="00A827D2" w:rsidP="00A827D2">
      <w:pPr>
        <w:pStyle w:val="PolicyBodyText"/>
      </w:pPr>
      <w:r>
        <w:rPr>
          <w:b/>
          <w:bCs/>
        </w:rPr>
        <w:t>Copyright Protection -</w:t>
      </w:r>
      <w:r>
        <w:rPr>
          <w:rStyle w:val="Strong"/>
          <w:b w:val="0"/>
        </w:rPr>
        <w:t xml:space="preserve"> </w:t>
      </w:r>
      <w:r w:rsidRPr="0012759E">
        <w:t xml:space="preserve">All users are required to comply with federal copyright laws, nondisclosure, and vendor licensing agreements governing the installation, use, and distribution of purchased software.  All software will be used in accordance with the developer’s license agreements and with the </w:t>
      </w:r>
      <w:r w:rsidR="003F2247">
        <w:t>Company X</w:t>
      </w:r>
      <w:r w:rsidRPr="0012759E">
        <w:t xml:space="preserve"> Code of Ethics.</w:t>
      </w:r>
    </w:p>
    <w:p w:rsidR="00BD7490" w:rsidRDefault="00BD7490" w:rsidP="00A827D2">
      <w:pPr>
        <w:pStyle w:val="PolicyBodyText"/>
      </w:pPr>
      <w:r>
        <w:rPr>
          <w:b/>
          <w:bCs/>
        </w:rPr>
        <w:t xml:space="preserve">Copyright </w:t>
      </w:r>
      <w:r w:rsidR="00C76B25">
        <w:rPr>
          <w:b/>
          <w:bCs/>
        </w:rPr>
        <w:t xml:space="preserve">License </w:t>
      </w:r>
      <w:r>
        <w:rPr>
          <w:b/>
          <w:bCs/>
        </w:rPr>
        <w:t>Review –</w:t>
      </w:r>
      <w:r>
        <w:t xml:space="preserve"> Company X management must</w:t>
      </w:r>
      <w:r w:rsidRPr="00BD7490">
        <w:t xml:space="preserve"> conduct an annual software audit of its computing equipment, comparing the software installed with software proof-of-purchase documentation or the o</w:t>
      </w:r>
      <w:r>
        <w:t>riginal media (CD-ROM, downloads</w:t>
      </w:r>
      <w:r w:rsidRPr="00BD7490">
        <w:t>, etc.)</w:t>
      </w:r>
    </w:p>
    <w:p w:rsidR="00027B9D" w:rsidRDefault="00C76B25" w:rsidP="00027B9D">
      <w:pPr>
        <w:pStyle w:val="Heading3"/>
      </w:pPr>
      <w:bookmarkStart w:id="5" w:name="_Toc457462843"/>
      <w:r>
        <w:t xml:space="preserve">Software </w:t>
      </w:r>
      <w:r w:rsidR="00027B9D">
        <w:t>Procurement</w:t>
      </w:r>
      <w:bookmarkEnd w:id="5"/>
    </w:p>
    <w:p w:rsidR="00BD7490" w:rsidRDefault="00BD7490" w:rsidP="00A827D2">
      <w:pPr>
        <w:pStyle w:val="PolicyBodyText"/>
      </w:pPr>
      <w:r>
        <w:rPr>
          <w:b/>
          <w:bCs/>
        </w:rPr>
        <w:lastRenderedPageBreak/>
        <w:t>Software Procurement -</w:t>
      </w:r>
      <w:r>
        <w:t xml:space="preserve"> </w:t>
      </w:r>
      <w:r w:rsidRPr="00BD7490">
        <w:t>All software used on Company</w:t>
      </w:r>
      <w:r>
        <w:t xml:space="preserve"> X</w:t>
      </w:r>
      <w:r w:rsidRPr="00BD7490">
        <w:t>-owned computers will be purchased through appropriate procedures</w:t>
      </w:r>
      <w:r w:rsidR="00027B9D">
        <w:t xml:space="preserve"> and from approved vendors.  Consult your supervisor or</w:t>
      </w:r>
      <w:r w:rsidRPr="00BD7490">
        <w:t xml:space="preserve"> an I</w:t>
      </w:r>
      <w:r w:rsidR="00027B9D">
        <w:t>nformation Technology manager</w:t>
      </w:r>
      <w:r w:rsidRPr="00BD7490">
        <w:t xml:space="preserve"> for proper procedures.</w:t>
      </w:r>
    </w:p>
    <w:p w:rsidR="00027B9D" w:rsidRDefault="00027B9D" w:rsidP="00027B9D">
      <w:pPr>
        <w:pStyle w:val="Heading3"/>
      </w:pPr>
      <w:bookmarkStart w:id="6" w:name="_Toc457462844"/>
      <w:r>
        <w:t>Acceptable Use and Ownership</w:t>
      </w:r>
      <w:bookmarkEnd w:id="6"/>
    </w:p>
    <w:p w:rsidR="00BD7490" w:rsidRDefault="00BD7490" w:rsidP="00BD7490">
      <w:pPr>
        <w:pStyle w:val="PolicyBodyText"/>
        <w:rPr>
          <w:rFonts w:cs="Arial"/>
        </w:rPr>
      </w:pPr>
      <w:r>
        <w:rPr>
          <w:b/>
          <w:bCs/>
        </w:rPr>
        <w:t>Remote Worker Usage -</w:t>
      </w:r>
      <w:r>
        <w:t xml:space="preserve"> </w:t>
      </w:r>
      <w:r w:rsidR="00A827D2" w:rsidRPr="0012759E">
        <w:rPr>
          <w:rFonts w:cs="Arial"/>
        </w:rPr>
        <w:t xml:space="preserve">When a user needs to use software for Company business at home, </w:t>
      </w:r>
      <w:r w:rsidR="003F2247">
        <w:rPr>
          <w:rFonts w:cs="Arial"/>
        </w:rPr>
        <w:t>Company X</w:t>
      </w:r>
      <w:r w:rsidR="00A827D2" w:rsidRPr="0012759E">
        <w:rPr>
          <w:rFonts w:cs="Arial"/>
        </w:rPr>
        <w:t xml:space="preserve"> will either confirm that the license allows home use or purchase an additional copy or license.  </w:t>
      </w:r>
    </w:p>
    <w:p w:rsidR="00A827D2" w:rsidRDefault="00BD7490" w:rsidP="00BD7490">
      <w:pPr>
        <w:pStyle w:val="PolicyBodyText"/>
        <w:rPr>
          <w:rFonts w:cs="Arial"/>
        </w:rPr>
      </w:pPr>
      <w:r>
        <w:rPr>
          <w:b/>
          <w:bCs/>
        </w:rPr>
        <w:t>Software Ownership -</w:t>
      </w:r>
      <w:r>
        <w:rPr>
          <w:rFonts w:cs="Arial"/>
        </w:rPr>
        <w:t xml:space="preserve"> </w:t>
      </w:r>
      <w:r w:rsidR="00A827D2" w:rsidRPr="0012759E">
        <w:rPr>
          <w:rFonts w:cs="Arial"/>
        </w:rPr>
        <w:t xml:space="preserve">Anyone issued additional copy(s) of software for home use acknowledges that such additional copy(s) or license(s) purchased for home use are the property of </w:t>
      </w:r>
      <w:r w:rsidR="003F2247">
        <w:rPr>
          <w:rFonts w:cs="Arial"/>
        </w:rPr>
        <w:t>Company X</w:t>
      </w:r>
      <w:r w:rsidR="00A827D2" w:rsidRPr="0012759E">
        <w:rPr>
          <w:rFonts w:cs="Arial"/>
        </w:rPr>
        <w:t xml:space="preserve">.  </w:t>
      </w:r>
    </w:p>
    <w:p w:rsidR="00A827D2" w:rsidRDefault="00BD7490" w:rsidP="00BD7490">
      <w:pPr>
        <w:pStyle w:val="PolicyBodyText"/>
        <w:rPr>
          <w:rFonts w:cs="Arial"/>
        </w:rPr>
      </w:pPr>
      <w:r>
        <w:rPr>
          <w:b/>
          <w:bCs/>
        </w:rPr>
        <w:t>Personal Software Installation -</w:t>
      </w:r>
      <w:r>
        <w:t xml:space="preserve"> </w:t>
      </w:r>
      <w:r w:rsidR="00A827D2" w:rsidRPr="0012759E">
        <w:rPr>
          <w:rFonts w:cs="Arial"/>
        </w:rPr>
        <w:t>Users are not permitted to install their personal software (screen savers, utilities, games, etc.)</w:t>
      </w:r>
      <w:r w:rsidR="003F2247">
        <w:rPr>
          <w:rFonts w:cs="Arial"/>
        </w:rPr>
        <w:t xml:space="preserve"> </w:t>
      </w:r>
      <w:r w:rsidR="00A827D2" w:rsidRPr="0012759E">
        <w:rPr>
          <w:rFonts w:cs="Arial"/>
        </w:rPr>
        <w:t xml:space="preserve">onto Company </w:t>
      </w:r>
      <w:r w:rsidR="003F2247">
        <w:rPr>
          <w:rFonts w:cs="Arial"/>
        </w:rPr>
        <w:t xml:space="preserve">X </w:t>
      </w:r>
      <w:r w:rsidR="00A827D2" w:rsidRPr="0012759E">
        <w:rPr>
          <w:rFonts w:cs="Arial"/>
        </w:rPr>
        <w:t>computer systems.</w:t>
      </w:r>
    </w:p>
    <w:p w:rsidR="00027B9D" w:rsidRDefault="00027B9D" w:rsidP="00BD7490">
      <w:pPr>
        <w:pStyle w:val="PolicyBodyText"/>
        <w:rPr>
          <w:rFonts w:cs="Arial"/>
        </w:rPr>
      </w:pPr>
      <w:r>
        <w:rPr>
          <w:b/>
          <w:bCs/>
        </w:rPr>
        <w:t>Authorized Use Only -</w:t>
      </w:r>
      <w:r>
        <w:rPr>
          <w:rFonts w:cs="Arial"/>
        </w:rPr>
        <w:t xml:space="preserve"> Users must</w:t>
      </w:r>
      <w:r w:rsidRPr="00027B9D">
        <w:rPr>
          <w:rFonts w:cs="Arial"/>
        </w:rPr>
        <w:t xml:space="preserve"> use software according to the manufacturer license agreements and this policy.  </w:t>
      </w:r>
      <w:r w:rsidR="003F2247">
        <w:rPr>
          <w:rFonts w:cs="Arial"/>
        </w:rPr>
        <w:t>Company X</w:t>
      </w:r>
      <w:r w:rsidRPr="00027B9D">
        <w:rPr>
          <w:rFonts w:cs="Arial"/>
        </w:rPr>
        <w:t xml:space="preserve"> licenses the use of computer software from a variety of outside companies, but does not own the copyright to software licensed from other companies.  </w:t>
      </w:r>
    </w:p>
    <w:p w:rsidR="00A827D2" w:rsidRPr="00BD7490" w:rsidRDefault="00BD7490" w:rsidP="00BD7490">
      <w:pPr>
        <w:pStyle w:val="PolicyBodyText"/>
      </w:pPr>
      <w:r>
        <w:rPr>
          <w:b/>
          <w:bCs/>
        </w:rPr>
        <w:t>Unauthorized Duplication -</w:t>
      </w:r>
      <w:r>
        <w:t xml:space="preserve"> Users must not make unauthorized copies of any copyrighted software or intellectual property.  U</w:t>
      </w:r>
      <w:r w:rsidR="00A827D2" w:rsidRPr="0012759E">
        <w:rPr>
          <w:rFonts w:cs="Arial"/>
          <w:szCs w:val="22"/>
        </w:rPr>
        <w:t>nauthorized duplication of copyrighted computer software violates the law and is contrary to corporate standards of conduct.  The Company prohibits this kind of duplication and recognizes the following principles as a basis for preventing its occurrence.</w:t>
      </w:r>
    </w:p>
    <w:p w:rsidR="00A827D2" w:rsidRPr="0012759E" w:rsidRDefault="00A827D2" w:rsidP="00BD7490">
      <w:pPr>
        <w:ind w:left="360"/>
        <w:rPr>
          <w:rFonts w:cs="Arial"/>
          <w:szCs w:val="22"/>
        </w:rPr>
      </w:pPr>
    </w:p>
    <w:p w:rsidR="00A437C9" w:rsidRPr="00074BA0" w:rsidRDefault="00924538" w:rsidP="00074BA0">
      <w:pPr>
        <w:pStyle w:val="PolicyElementHeader"/>
        <w:rPr>
          <w:bCs/>
          <w:color w:val="00527A"/>
        </w:rPr>
      </w:pPr>
      <w:bookmarkStart w:id="7" w:name="_Toc457462845"/>
      <w:r>
        <w:rPr>
          <w:bCs/>
          <w:color w:val="00527A"/>
        </w:rPr>
        <w:t>Violations</w:t>
      </w:r>
      <w:bookmarkEnd w:id="7"/>
    </w:p>
    <w:p w:rsidR="00027B9D"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3F2247">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3F2247">
        <w:rPr>
          <w:rFonts w:eastAsia="MS Mincho" w:cs="Arial"/>
          <w:szCs w:val="20"/>
        </w:rPr>
        <w:t>Company X</w:t>
      </w:r>
      <w:r w:rsidRPr="002A7256">
        <w:rPr>
          <w:rFonts w:eastAsia="MS Mincho" w:cs="Arial"/>
          <w:szCs w:val="20"/>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3F2247">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027B9D" w:rsidRDefault="00027B9D" w:rsidP="00027B9D">
      <w:r>
        <w:rPr>
          <w:rFonts w:cs="Arial"/>
        </w:rPr>
        <w:t xml:space="preserve">Note: </w:t>
      </w:r>
      <w:r w:rsidRPr="0012759E">
        <w:rPr>
          <w:rFonts w:cs="Arial"/>
        </w:rPr>
        <w:t xml:space="preserve">Unauthorized reproduction of software is </w:t>
      </w:r>
      <w:r>
        <w:rPr>
          <w:rFonts w:cs="Arial"/>
        </w:rPr>
        <w:t xml:space="preserve">an International crime, and </w:t>
      </w:r>
      <w:r w:rsidRPr="0012759E">
        <w:rPr>
          <w:rFonts w:cs="Arial"/>
        </w:rPr>
        <w:t xml:space="preserve">a Federal offense under both US and Canadian copyright laws.  In the </w:t>
      </w:r>
      <w:smartTag w:uri="urn:schemas-microsoft-com:office:smarttags" w:element="place">
        <w:smartTag w:uri="urn:schemas-microsoft-com:office:smarttags" w:element="country-region">
          <w:r w:rsidRPr="0012759E">
            <w:rPr>
              <w:rFonts w:cs="Arial"/>
            </w:rPr>
            <w:t>United States</w:t>
          </w:r>
        </w:smartTag>
      </w:smartTag>
      <w:r w:rsidRPr="0012759E">
        <w:rPr>
          <w:rFonts w:cs="Arial"/>
        </w:rPr>
        <w:t xml:space="preserve">, </w:t>
      </w:r>
      <w:r>
        <w:rPr>
          <w:rFonts w:cs="Arial"/>
        </w:rPr>
        <w:t xml:space="preserve">for instance, </w:t>
      </w:r>
      <w:r w:rsidRPr="0012759E">
        <w:rPr>
          <w:rFonts w:cs="Arial"/>
        </w:rPr>
        <w:t xml:space="preserve">violators may be subject to civil damages in amounts up to $150,000 </w:t>
      </w:r>
      <w:r w:rsidRPr="0012759E">
        <w:rPr>
          <w:rFonts w:cs="Arial"/>
          <w:b/>
          <w:i/>
        </w:rPr>
        <w:t xml:space="preserve">for each instance of each individual title </w:t>
      </w:r>
      <w:r w:rsidRPr="0012759E">
        <w:rPr>
          <w:rFonts w:cs="Arial"/>
        </w:rPr>
        <w:t xml:space="preserve">copied.  (The average Corporate settlement has ranged between 10 million to 12 million </w:t>
      </w:r>
      <w:proofErr w:type="gramStart"/>
      <w:r w:rsidRPr="0012759E">
        <w:rPr>
          <w:rFonts w:cs="Arial"/>
        </w:rPr>
        <w:t>dollars)  Criminal</w:t>
      </w:r>
      <w:proofErr w:type="gramEnd"/>
      <w:r w:rsidRPr="0012759E">
        <w:rPr>
          <w:rFonts w:cs="Arial"/>
        </w:rPr>
        <w:t xml:space="preserve"> penalties include fines as high as $250,000 </w:t>
      </w:r>
      <w:r w:rsidRPr="0012759E">
        <w:rPr>
          <w:rFonts w:cs="Arial"/>
          <w:b/>
          <w:i/>
        </w:rPr>
        <w:t>for each instance of each individual title</w:t>
      </w:r>
      <w:r w:rsidRPr="0012759E">
        <w:rPr>
          <w:rFonts w:cs="Arial"/>
        </w:rPr>
        <w:t xml:space="preserve"> copied, and imprisonment of up to 5 years.</w:t>
      </w:r>
    </w:p>
    <w:p w:rsidR="00027B9D" w:rsidRPr="002A7256" w:rsidRDefault="00027B9D" w:rsidP="00451671">
      <w:pPr>
        <w:spacing w:after="120"/>
        <w:rPr>
          <w:rFonts w:eastAsia="MS Mincho" w:cs="Arial"/>
          <w:szCs w:val="20"/>
        </w:rPr>
      </w:pPr>
    </w:p>
    <w:p w:rsidR="00A437C9" w:rsidRPr="003F09FA" w:rsidRDefault="00A437C9" w:rsidP="003F09FA">
      <w:pPr>
        <w:pStyle w:val="PolicyElementHeader"/>
        <w:rPr>
          <w:bCs/>
          <w:color w:val="00527A"/>
        </w:rPr>
      </w:pPr>
      <w:bookmarkStart w:id="8" w:name="_Toc457462846"/>
      <w:r w:rsidRPr="003F09FA">
        <w:rPr>
          <w:bCs/>
          <w:color w:val="00527A"/>
        </w:rPr>
        <w:t>Definitions</w:t>
      </w:r>
      <w:bookmarkEnd w:id="8"/>
    </w:p>
    <w:p w:rsidR="008A4364" w:rsidRDefault="008A4364" w:rsidP="008A4364">
      <w:bookmarkStart w:id="9" w:name="_Toc178155364"/>
    </w:p>
    <w:p w:rsidR="00C76B25" w:rsidRDefault="00C76B25" w:rsidP="00C76B25">
      <w:pPr>
        <w:pStyle w:val="StylePolicyDefinitionNotBold"/>
      </w:pPr>
      <w:r w:rsidRPr="00C21BF8">
        <w:rPr>
          <w:rStyle w:val="PolicyDefinitionChar"/>
        </w:rPr>
        <w:t>Confidential Information (Sensitive Information)</w:t>
      </w:r>
      <w:r w:rsidRPr="00C21BF8">
        <w:t xml:space="preserve"> – Any </w:t>
      </w:r>
      <w:r>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w:t>
      </w:r>
      <w:r w:rsidRPr="00C21BF8">
        <w:lastRenderedPageBreak/>
        <w:t xml:space="preserve">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t>Company X</w:t>
      </w:r>
      <w:r w:rsidRPr="00C21BF8">
        <w:t xml:space="preserve"> from a third party under a non-disclosure agreement</w:t>
      </w:r>
    </w:p>
    <w:p w:rsidR="00C76B25" w:rsidRDefault="00C76B25" w:rsidP="00C76B25">
      <w:pPr>
        <w:spacing w:after="120"/>
      </w:pPr>
      <w:r w:rsidRPr="00E81331">
        <w:rPr>
          <w:rStyle w:val="Strong"/>
        </w:rPr>
        <w:t>Information Asset</w:t>
      </w:r>
      <w:r w:rsidRPr="00E81331">
        <w:rPr>
          <w:b/>
          <w:bCs/>
        </w:rPr>
        <w:t xml:space="preserve"> </w:t>
      </w:r>
      <w:r w:rsidRPr="00E81331">
        <w:t>- Any Company X data in any form, and the equipment used to manage, process, or store Company X data, that is used in the course of executing business.  This includes, but is not limited to, corporate, customer, and partner data.</w:t>
      </w:r>
    </w:p>
    <w:p w:rsidR="00C76B25" w:rsidRDefault="00C76B25" w:rsidP="00C76B25">
      <w:pPr>
        <w:pStyle w:val="StylePolicyDefinitionNotBold"/>
      </w:pPr>
      <w:r>
        <w:rPr>
          <w:rStyle w:val="PolicyDefinitionChar"/>
        </w:rPr>
        <w:t>Third Party (Partner)</w:t>
      </w:r>
      <w:r w:rsidRPr="00C21BF8">
        <w:t xml:space="preserve"> – Any non-employee of </w:t>
      </w:r>
      <w:r>
        <w:t>Company X</w:t>
      </w:r>
      <w:r w:rsidRPr="00C21BF8">
        <w:t xml:space="preserve"> who is contractually bound to provide some form of service to </w:t>
      </w:r>
      <w:r>
        <w:t>Company X</w:t>
      </w:r>
      <w:r w:rsidRPr="00C21BF8">
        <w:t>.</w:t>
      </w:r>
    </w:p>
    <w:p w:rsidR="008A4364" w:rsidRPr="00C76B25" w:rsidRDefault="00C76B25" w:rsidP="00C76B25">
      <w:pPr>
        <w:spacing w:after="120"/>
        <w:jc w:val="both"/>
      </w:pPr>
      <w:r w:rsidRPr="00EC4A77">
        <w:rPr>
          <w:b/>
          <w:bCs/>
        </w:rPr>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D13DA3" w:rsidRDefault="00D13DA3" w:rsidP="00D13DA3">
      <w:pPr>
        <w:pStyle w:val="PolicyElementHeader"/>
        <w:rPr>
          <w:color w:val="00527A"/>
          <w:szCs w:val="28"/>
        </w:rPr>
      </w:pPr>
      <w:bookmarkStart w:id="10" w:name="_Toc457462847"/>
      <w:r>
        <w:rPr>
          <w:color w:val="00527A"/>
          <w:szCs w:val="28"/>
        </w:rPr>
        <w:t>References</w:t>
      </w:r>
      <w:bookmarkEnd w:id="9"/>
      <w:bookmarkEnd w:id="10"/>
    </w:p>
    <w:p w:rsidR="008A4364" w:rsidRDefault="00083F8B" w:rsidP="008A4364">
      <w:bookmarkStart w:id="11" w:name="_Toc178155365"/>
      <w:r>
        <w:t>ISO/IEC 27002: 4.0</w:t>
      </w:r>
      <w:r w:rsidR="008A4364">
        <w:t xml:space="preserve"> Risk Management</w:t>
      </w:r>
    </w:p>
    <w:p w:rsidR="008A4364" w:rsidRDefault="00083F8B" w:rsidP="008A4364">
      <w:pPr>
        <w:rPr>
          <w:bCs/>
        </w:rPr>
      </w:pPr>
      <w:r>
        <w:rPr>
          <w:bCs/>
        </w:rPr>
        <w:t xml:space="preserve">CPL: 1.0 - IT Risk Management </w:t>
      </w:r>
    </w:p>
    <w:p w:rsidR="00083F8B" w:rsidRDefault="00083F8B" w:rsidP="008A4364">
      <w:r w:rsidRPr="00083F8B">
        <w:t>NIST: Risk Assessment (RA)</w:t>
      </w:r>
    </w:p>
    <w:p w:rsidR="00083F8B" w:rsidRDefault="00083F8B" w:rsidP="008A4364">
      <w:r w:rsidRPr="00083F8B">
        <w:t>PCI</w:t>
      </w:r>
      <w:r>
        <w:t>-DSS</w:t>
      </w:r>
      <w:r w:rsidRPr="00083F8B">
        <w:t>: 12.2 Annual Risk Assessments</w:t>
      </w:r>
    </w:p>
    <w:p w:rsidR="00975F72" w:rsidRDefault="00975F72" w:rsidP="008A4364">
      <w:r w:rsidRPr="00975F72">
        <w:t>HIPAA: Security Management Process - Risk Management (R)</w:t>
      </w:r>
    </w:p>
    <w:p w:rsidR="00F51BD1" w:rsidRPr="007D37A8" w:rsidRDefault="00D13DA3" w:rsidP="007D37A8">
      <w:pPr>
        <w:pStyle w:val="PolicyElementHeader"/>
        <w:rPr>
          <w:color w:val="00527A"/>
          <w:szCs w:val="28"/>
        </w:rPr>
      </w:pPr>
      <w:bookmarkStart w:id="12" w:name="_Toc457462848"/>
      <w:r>
        <w:rPr>
          <w:color w:val="00527A"/>
          <w:szCs w:val="28"/>
        </w:rPr>
        <w:t>Related Documents</w:t>
      </w:r>
      <w:bookmarkEnd w:id="11"/>
      <w:bookmarkEnd w:id="12"/>
    </w:p>
    <w:p w:rsidR="00D13DA3" w:rsidRDefault="00D13DA3"/>
    <w:p w:rsidR="006247CC" w:rsidRDefault="006247CC"/>
    <w:p w:rsidR="00D13DA3" w:rsidRPr="00EF734B" w:rsidRDefault="00D13DA3" w:rsidP="00EF734B">
      <w:pPr>
        <w:pStyle w:val="PolicyElementHeader"/>
        <w:rPr>
          <w:bCs/>
          <w:color w:val="00527A"/>
        </w:rPr>
      </w:pPr>
      <w:bookmarkStart w:id="13" w:name="_Toc457462849"/>
      <w:r w:rsidRPr="00EF734B">
        <w:rPr>
          <w:bCs/>
          <w:color w:val="00527A"/>
        </w:rPr>
        <w:t>Approval and Ownership</w:t>
      </w:r>
      <w:bookmarkEnd w:id="13"/>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980BB7"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C76B25"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C76B25"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14" w:name="_Toc457462850"/>
      <w:r w:rsidRPr="00EF734B">
        <w:rPr>
          <w:bCs/>
          <w:color w:val="00527A"/>
        </w:rPr>
        <w:t>Revision History</w:t>
      </w:r>
      <w:bookmarkEnd w:id="14"/>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C76B25"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C76B25"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12B" w:rsidRDefault="002E312B">
      <w:r>
        <w:separator/>
      </w:r>
    </w:p>
    <w:p w:rsidR="002E312B" w:rsidRDefault="002E312B"/>
  </w:endnote>
  <w:endnote w:type="continuationSeparator" w:id="0">
    <w:p w:rsidR="002E312B" w:rsidRDefault="002E312B">
      <w:r>
        <w:continuationSeparator/>
      </w:r>
    </w:p>
    <w:p w:rsidR="002E312B" w:rsidRDefault="002E3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ADB" w:rsidRPr="00575A04" w:rsidRDefault="003F2247" w:rsidP="00575A04">
    <w:pPr>
      <w:pStyle w:val="Footer"/>
    </w:pPr>
    <w:r>
      <w:t>Company X</w:t>
    </w:r>
    <w:r w:rsidR="00433ADB">
      <w:t xml:space="preserve"> Security Policy</w:t>
    </w:r>
    <w:r w:rsidR="00433ADB" w:rsidRPr="00575A04">
      <w:tab/>
      <w:t>CONFIDENTIAL</w:t>
    </w:r>
    <w:proofErr w:type="gramStart"/>
    <w:r w:rsidR="00433ADB" w:rsidRPr="00575A04">
      <w:tab/>
    </w:r>
    <w:r w:rsidR="00433ADB">
      <w:t xml:space="preserve">  </w:t>
    </w:r>
    <w:r w:rsidR="00433ADB" w:rsidRPr="00575A04">
      <w:t>Page</w:t>
    </w:r>
    <w:proofErr w:type="gramEnd"/>
    <w:r w:rsidR="00433ADB" w:rsidRPr="00575A04">
      <w:t xml:space="preserve"> </w:t>
    </w:r>
    <w:r w:rsidR="00A80A85">
      <w:fldChar w:fldCharType="begin"/>
    </w:r>
    <w:r w:rsidR="00A80A85">
      <w:instrText xml:space="preserve"> PAGE </w:instrText>
    </w:r>
    <w:r w:rsidR="00A80A85">
      <w:fldChar w:fldCharType="separate"/>
    </w:r>
    <w:r w:rsidR="00610294">
      <w:rPr>
        <w:noProof/>
      </w:rPr>
      <w:t>2</w:t>
    </w:r>
    <w:r w:rsidR="00A80A85">
      <w:rPr>
        <w:noProof/>
      </w:rPr>
      <w:fldChar w:fldCharType="end"/>
    </w:r>
  </w:p>
  <w:p w:rsidR="00433ADB" w:rsidRDefault="00433A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12B" w:rsidRDefault="002E312B">
      <w:r>
        <w:separator/>
      </w:r>
    </w:p>
    <w:p w:rsidR="002E312B" w:rsidRDefault="002E312B"/>
  </w:footnote>
  <w:footnote w:type="continuationSeparator" w:id="0">
    <w:p w:rsidR="002E312B" w:rsidRDefault="002E312B">
      <w:r>
        <w:continuationSeparator/>
      </w:r>
    </w:p>
    <w:p w:rsidR="002E312B" w:rsidRDefault="002E31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655DC7"/>
    <w:multiLevelType w:val="hybridMultilevel"/>
    <w:tmpl w:val="C5CCA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691D4B"/>
    <w:multiLevelType w:val="hybridMultilevel"/>
    <w:tmpl w:val="D7B49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852F51"/>
    <w:multiLevelType w:val="hybridMultilevel"/>
    <w:tmpl w:val="F0C8BE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27B9D"/>
    <w:rsid w:val="00074BA0"/>
    <w:rsid w:val="00083F8B"/>
    <w:rsid w:val="00095A7F"/>
    <w:rsid w:val="000F406E"/>
    <w:rsid w:val="001072C4"/>
    <w:rsid w:val="0016703E"/>
    <w:rsid w:val="001B556F"/>
    <w:rsid w:val="001F07DB"/>
    <w:rsid w:val="001F1048"/>
    <w:rsid w:val="00230CF0"/>
    <w:rsid w:val="00244229"/>
    <w:rsid w:val="0025264E"/>
    <w:rsid w:val="0029313E"/>
    <w:rsid w:val="002A7256"/>
    <w:rsid w:val="002B50C6"/>
    <w:rsid w:val="002E312B"/>
    <w:rsid w:val="002E64BD"/>
    <w:rsid w:val="00307C3B"/>
    <w:rsid w:val="003130E5"/>
    <w:rsid w:val="003653BE"/>
    <w:rsid w:val="00385F82"/>
    <w:rsid w:val="003B4488"/>
    <w:rsid w:val="003C1B8C"/>
    <w:rsid w:val="003F09FA"/>
    <w:rsid w:val="003F2247"/>
    <w:rsid w:val="00433ADB"/>
    <w:rsid w:val="00451671"/>
    <w:rsid w:val="00471ADC"/>
    <w:rsid w:val="00481C4B"/>
    <w:rsid w:val="004C5C37"/>
    <w:rsid w:val="004D2353"/>
    <w:rsid w:val="004D37EB"/>
    <w:rsid w:val="00534B43"/>
    <w:rsid w:val="00565B97"/>
    <w:rsid w:val="00566D03"/>
    <w:rsid w:val="00575A04"/>
    <w:rsid w:val="00581766"/>
    <w:rsid w:val="005A4B62"/>
    <w:rsid w:val="005B23C5"/>
    <w:rsid w:val="005C2789"/>
    <w:rsid w:val="005C2BD4"/>
    <w:rsid w:val="005D52B4"/>
    <w:rsid w:val="005E0C97"/>
    <w:rsid w:val="00610294"/>
    <w:rsid w:val="006173D9"/>
    <w:rsid w:val="006200A9"/>
    <w:rsid w:val="006247CC"/>
    <w:rsid w:val="00635509"/>
    <w:rsid w:val="006C099D"/>
    <w:rsid w:val="006E59BB"/>
    <w:rsid w:val="00756040"/>
    <w:rsid w:val="00761E58"/>
    <w:rsid w:val="00762B67"/>
    <w:rsid w:val="0077342D"/>
    <w:rsid w:val="007D37A8"/>
    <w:rsid w:val="00813666"/>
    <w:rsid w:val="008241DB"/>
    <w:rsid w:val="008314F4"/>
    <w:rsid w:val="0089043A"/>
    <w:rsid w:val="008A4364"/>
    <w:rsid w:val="008B63E6"/>
    <w:rsid w:val="00924538"/>
    <w:rsid w:val="009246D3"/>
    <w:rsid w:val="00955117"/>
    <w:rsid w:val="00975083"/>
    <w:rsid w:val="00975F72"/>
    <w:rsid w:val="00980BB7"/>
    <w:rsid w:val="00986B8E"/>
    <w:rsid w:val="009A4764"/>
    <w:rsid w:val="00A121C7"/>
    <w:rsid w:val="00A33801"/>
    <w:rsid w:val="00A437C9"/>
    <w:rsid w:val="00A80A85"/>
    <w:rsid w:val="00A827D2"/>
    <w:rsid w:val="00A87956"/>
    <w:rsid w:val="00AE6B51"/>
    <w:rsid w:val="00AF5689"/>
    <w:rsid w:val="00B36AF7"/>
    <w:rsid w:val="00B42901"/>
    <w:rsid w:val="00B53867"/>
    <w:rsid w:val="00BD7490"/>
    <w:rsid w:val="00C46841"/>
    <w:rsid w:val="00C51809"/>
    <w:rsid w:val="00C51C73"/>
    <w:rsid w:val="00C76B25"/>
    <w:rsid w:val="00D13DA3"/>
    <w:rsid w:val="00D86AF2"/>
    <w:rsid w:val="00DA209E"/>
    <w:rsid w:val="00DB09F5"/>
    <w:rsid w:val="00E16CD9"/>
    <w:rsid w:val="00E364EF"/>
    <w:rsid w:val="00EC100F"/>
    <w:rsid w:val="00EF734B"/>
    <w:rsid w:val="00F07EAE"/>
    <w:rsid w:val="00F51BD1"/>
    <w:rsid w:val="00F534BF"/>
    <w:rsid w:val="00FB50F1"/>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6C61C0C"/>
  <w15:docId w15:val="{13092A42-B5CF-420B-9797-A2AAC50C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8B63E6"/>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PolicyBodyText">
    <w:name w:val="Policy Body Text"/>
    <w:basedOn w:val="Normal"/>
    <w:qFormat/>
    <w:rsid w:val="00813666"/>
    <w:pPr>
      <w:spacing w:after="120"/>
      <w:ind w:left="360"/>
    </w:pPr>
    <w:rPr>
      <w:szCs w:val="20"/>
    </w:rPr>
  </w:style>
  <w:style w:type="character" w:customStyle="1" w:styleId="Heading2Char">
    <w:name w:val="Heading 2 Char"/>
    <w:link w:val="Heading2"/>
    <w:semiHidden/>
    <w:rsid w:val="008B63E6"/>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8B63E6"/>
    <w:pPr>
      <w:ind w:left="220"/>
    </w:pPr>
  </w:style>
  <w:style w:type="paragraph" w:styleId="NormalIndent">
    <w:name w:val="Normal Indent"/>
    <w:basedOn w:val="Normal"/>
    <w:rsid w:val="00A827D2"/>
    <w:pPr>
      <w:widowControl w:val="0"/>
      <w:ind w:left="360"/>
    </w:pPr>
    <w:rPr>
      <w:szCs w:val="20"/>
    </w:rPr>
  </w:style>
  <w:style w:type="paragraph" w:customStyle="1" w:styleId="StylePolicyDefinitionNotBold">
    <w:name w:val="Style Policy Definition + Not Bold"/>
    <w:basedOn w:val="PolicyDefinition"/>
    <w:rsid w:val="00C76B25"/>
    <w:pPr>
      <w:spacing w:after="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197297-B542-4696-AC34-CB790BA55E71}"/>
</file>

<file path=customXml/itemProps2.xml><?xml version="1.0" encoding="utf-8"?>
<ds:datastoreItem xmlns:ds="http://schemas.openxmlformats.org/officeDocument/2006/customXml" ds:itemID="{3D83BD34-1FE9-45A2-B64B-24D5D0802A68}"/>
</file>

<file path=customXml/itemProps3.xml><?xml version="1.0" encoding="utf-8"?>
<ds:datastoreItem xmlns:ds="http://schemas.openxmlformats.org/officeDocument/2006/customXml" ds:itemID="{59E4FFE2-E72F-4D86-8910-ADBEF5AB5B5B}"/>
</file>

<file path=docProps/app.xml><?xml version="1.0" encoding="utf-8"?>
<Properties xmlns="http://schemas.openxmlformats.org/officeDocument/2006/extended-properties" xmlns:vt="http://schemas.openxmlformats.org/officeDocument/2006/docPropsVTypes">
  <Template>Normal</Template>
  <TotalTime>30</TotalTime>
  <Pages>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7006</CharactersWithSpaces>
  <SharedDoc>false</SharedDoc>
  <HLinks>
    <vt:vector size="90" baseType="variant">
      <vt:variant>
        <vt:i4>1638452</vt:i4>
      </vt:variant>
      <vt:variant>
        <vt:i4>86</vt:i4>
      </vt:variant>
      <vt:variant>
        <vt:i4>0</vt:i4>
      </vt:variant>
      <vt:variant>
        <vt:i4>5</vt:i4>
      </vt:variant>
      <vt:variant>
        <vt:lpwstr/>
      </vt:variant>
      <vt:variant>
        <vt:lpwstr>_Toc352614495</vt:lpwstr>
      </vt:variant>
      <vt:variant>
        <vt:i4>1638452</vt:i4>
      </vt:variant>
      <vt:variant>
        <vt:i4>80</vt:i4>
      </vt:variant>
      <vt:variant>
        <vt:i4>0</vt:i4>
      </vt:variant>
      <vt:variant>
        <vt:i4>5</vt:i4>
      </vt:variant>
      <vt:variant>
        <vt:lpwstr/>
      </vt:variant>
      <vt:variant>
        <vt:lpwstr>_Toc352614494</vt:lpwstr>
      </vt:variant>
      <vt:variant>
        <vt:i4>1638452</vt:i4>
      </vt:variant>
      <vt:variant>
        <vt:i4>74</vt:i4>
      </vt:variant>
      <vt:variant>
        <vt:i4>0</vt:i4>
      </vt:variant>
      <vt:variant>
        <vt:i4>5</vt:i4>
      </vt:variant>
      <vt:variant>
        <vt:lpwstr/>
      </vt:variant>
      <vt:variant>
        <vt:lpwstr>_Toc352614493</vt:lpwstr>
      </vt:variant>
      <vt:variant>
        <vt:i4>1638452</vt:i4>
      </vt:variant>
      <vt:variant>
        <vt:i4>68</vt:i4>
      </vt:variant>
      <vt:variant>
        <vt:i4>0</vt:i4>
      </vt:variant>
      <vt:variant>
        <vt:i4>5</vt:i4>
      </vt:variant>
      <vt:variant>
        <vt:lpwstr/>
      </vt:variant>
      <vt:variant>
        <vt:lpwstr>_Toc352614492</vt:lpwstr>
      </vt:variant>
      <vt:variant>
        <vt:i4>1638452</vt:i4>
      </vt:variant>
      <vt:variant>
        <vt:i4>62</vt:i4>
      </vt:variant>
      <vt:variant>
        <vt:i4>0</vt:i4>
      </vt:variant>
      <vt:variant>
        <vt:i4>5</vt:i4>
      </vt:variant>
      <vt:variant>
        <vt:lpwstr/>
      </vt:variant>
      <vt:variant>
        <vt:lpwstr>_Toc352614491</vt:lpwstr>
      </vt:variant>
      <vt:variant>
        <vt:i4>1638452</vt:i4>
      </vt:variant>
      <vt:variant>
        <vt:i4>56</vt:i4>
      </vt:variant>
      <vt:variant>
        <vt:i4>0</vt:i4>
      </vt:variant>
      <vt:variant>
        <vt:i4>5</vt:i4>
      </vt:variant>
      <vt:variant>
        <vt:lpwstr/>
      </vt:variant>
      <vt:variant>
        <vt:lpwstr>_Toc352614490</vt:lpwstr>
      </vt:variant>
      <vt:variant>
        <vt:i4>1572916</vt:i4>
      </vt:variant>
      <vt:variant>
        <vt:i4>50</vt:i4>
      </vt:variant>
      <vt:variant>
        <vt:i4>0</vt:i4>
      </vt:variant>
      <vt:variant>
        <vt:i4>5</vt:i4>
      </vt:variant>
      <vt:variant>
        <vt:lpwstr/>
      </vt:variant>
      <vt:variant>
        <vt:lpwstr>_Toc352614489</vt:lpwstr>
      </vt:variant>
      <vt:variant>
        <vt:i4>1572916</vt:i4>
      </vt:variant>
      <vt:variant>
        <vt:i4>44</vt:i4>
      </vt:variant>
      <vt:variant>
        <vt:i4>0</vt:i4>
      </vt:variant>
      <vt:variant>
        <vt:i4>5</vt:i4>
      </vt:variant>
      <vt:variant>
        <vt:lpwstr/>
      </vt:variant>
      <vt:variant>
        <vt:lpwstr>_Toc352614488</vt:lpwstr>
      </vt:variant>
      <vt:variant>
        <vt:i4>1572916</vt:i4>
      </vt:variant>
      <vt:variant>
        <vt:i4>38</vt:i4>
      </vt:variant>
      <vt:variant>
        <vt:i4>0</vt:i4>
      </vt:variant>
      <vt:variant>
        <vt:i4>5</vt:i4>
      </vt:variant>
      <vt:variant>
        <vt:lpwstr/>
      </vt:variant>
      <vt:variant>
        <vt:lpwstr>_Toc352614487</vt:lpwstr>
      </vt:variant>
      <vt:variant>
        <vt:i4>1572916</vt:i4>
      </vt:variant>
      <vt:variant>
        <vt:i4>32</vt:i4>
      </vt:variant>
      <vt:variant>
        <vt:i4>0</vt:i4>
      </vt:variant>
      <vt:variant>
        <vt:i4>5</vt:i4>
      </vt:variant>
      <vt:variant>
        <vt:lpwstr/>
      </vt:variant>
      <vt:variant>
        <vt:lpwstr>_Toc352614486</vt:lpwstr>
      </vt:variant>
      <vt:variant>
        <vt:i4>1572916</vt:i4>
      </vt:variant>
      <vt:variant>
        <vt:i4>26</vt:i4>
      </vt:variant>
      <vt:variant>
        <vt:i4>0</vt:i4>
      </vt:variant>
      <vt:variant>
        <vt:i4>5</vt:i4>
      </vt:variant>
      <vt:variant>
        <vt:lpwstr/>
      </vt:variant>
      <vt:variant>
        <vt:lpwstr>_Toc352614485</vt:lpwstr>
      </vt:variant>
      <vt:variant>
        <vt:i4>1572916</vt:i4>
      </vt:variant>
      <vt:variant>
        <vt:i4>20</vt:i4>
      </vt:variant>
      <vt:variant>
        <vt:i4>0</vt:i4>
      </vt:variant>
      <vt:variant>
        <vt:i4>5</vt:i4>
      </vt:variant>
      <vt:variant>
        <vt:lpwstr/>
      </vt:variant>
      <vt:variant>
        <vt:lpwstr>_Toc352614484</vt:lpwstr>
      </vt:variant>
      <vt:variant>
        <vt:i4>1572916</vt:i4>
      </vt:variant>
      <vt:variant>
        <vt:i4>14</vt:i4>
      </vt:variant>
      <vt:variant>
        <vt:i4>0</vt:i4>
      </vt:variant>
      <vt:variant>
        <vt:i4>5</vt:i4>
      </vt:variant>
      <vt:variant>
        <vt:lpwstr/>
      </vt:variant>
      <vt:variant>
        <vt:lpwstr>_Toc352614483</vt:lpwstr>
      </vt:variant>
      <vt:variant>
        <vt:i4>1572916</vt:i4>
      </vt:variant>
      <vt:variant>
        <vt:i4>8</vt:i4>
      </vt:variant>
      <vt:variant>
        <vt:i4>0</vt:i4>
      </vt:variant>
      <vt:variant>
        <vt:i4>5</vt:i4>
      </vt:variant>
      <vt:variant>
        <vt:lpwstr/>
      </vt:variant>
      <vt:variant>
        <vt:lpwstr>_Toc352614482</vt:lpwstr>
      </vt:variant>
      <vt:variant>
        <vt:i4>1572916</vt:i4>
      </vt:variant>
      <vt:variant>
        <vt:i4>2</vt:i4>
      </vt:variant>
      <vt:variant>
        <vt:i4>0</vt:i4>
      </vt:variant>
      <vt:variant>
        <vt:i4>5</vt:i4>
      </vt:variant>
      <vt:variant>
        <vt:lpwstr/>
      </vt:variant>
      <vt:variant>
        <vt:lpwstr>_Toc352614481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 Scott Hayden</dc:creator>
  <cp:lastModifiedBy>Scott Parramore</cp:lastModifiedBy>
  <cp:revision>10</cp:revision>
  <dcterms:created xsi:type="dcterms:W3CDTF">2014-02-27T17:38:00Z</dcterms:created>
  <dcterms:modified xsi:type="dcterms:W3CDTF">2017-12-03T21:07:00Z</dcterms:modified>
  <cp:version>2.8</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