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00"/>
        <w:gridCol w:w="1253"/>
        <w:gridCol w:w="1586"/>
        <w:gridCol w:w="1934"/>
        <w:gridCol w:w="809"/>
        <w:gridCol w:w="2894"/>
      </w:tblGrid>
      <w:tr w:rsidR="00D13DA3" w14:paraId="1C936CEA" w14:textId="77777777">
        <w:trPr>
          <w:trHeight w:val="498"/>
        </w:trPr>
        <w:tc>
          <w:tcPr>
            <w:tcW w:w="5000" w:type="pct"/>
            <w:gridSpan w:val="6"/>
            <w:tcBorders>
              <w:bottom w:val="nil"/>
            </w:tcBorders>
            <w:shd w:val="clear" w:color="auto" w:fill="auto"/>
            <w:vAlign w:val="bottom"/>
          </w:tcPr>
          <w:p w14:paraId="62E59509" w14:textId="77777777"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14:paraId="6C892CAA" w14:textId="77777777">
        <w:tc>
          <w:tcPr>
            <w:tcW w:w="5000" w:type="pct"/>
            <w:gridSpan w:val="6"/>
            <w:tcBorders>
              <w:top w:val="nil"/>
              <w:bottom w:val="nil"/>
            </w:tcBorders>
            <w:shd w:val="clear" w:color="auto" w:fill="CCCCCC"/>
          </w:tcPr>
          <w:p w14:paraId="5EC5FD09" w14:textId="77777777" w:rsidR="00D13DA3" w:rsidRPr="00FF6728" w:rsidRDefault="00ED268D" w:rsidP="00965518">
            <w:pPr>
              <w:pStyle w:val="policytitle"/>
            </w:pPr>
            <w:r w:rsidRPr="007129D9">
              <w:t>Acceptable Use</w:t>
            </w:r>
            <w:r>
              <w:t xml:space="preserve"> of Assets </w:t>
            </w:r>
            <w:r w:rsidRPr="007129D9">
              <w:t>Policy</w:t>
            </w:r>
          </w:p>
        </w:tc>
      </w:tr>
      <w:tr w:rsidR="008C26E8" w14:paraId="36634B05" w14:textId="77777777" w:rsidTr="00AA2015">
        <w:tc>
          <w:tcPr>
            <w:tcW w:w="575" w:type="pct"/>
            <w:tcBorders>
              <w:top w:val="nil"/>
            </w:tcBorders>
            <w:shd w:val="clear" w:color="auto" w:fill="auto"/>
            <w:tcMar>
              <w:top w:w="29" w:type="dxa"/>
              <w:left w:w="115" w:type="dxa"/>
              <w:bottom w:w="29" w:type="dxa"/>
              <w:right w:w="115" w:type="dxa"/>
            </w:tcMar>
          </w:tcPr>
          <w:p w14:paraId="65837343" w14:textId="77777777" w:rsidR="008C26E8" w:rsidRDefault="008C26E8" w:rsidP="002B50C6">
            <w:pPr>
              <w:pStyle w:val="PolicyHeaderLabel"/>
            </w:pPr>
            <w:r>
              <w:t>Policy #</w:t>
            </w:r>
          </w:p>
        </w:tc>
        <w:tc>
          <w:tcPr>
            <w:tcW w:w="654" w:type="pct"/>
            <w:tcBorders>
              <w:top w:val="nil"/>
            </w:tcBorders>
            <w:shd w:val="clear" w:color="auto" w:fill="auto"/>
            <w:tcMar>
              <w:top w:w="29" w:type="dxa"/>
              <w:left w:w="115" w:type="dxa"/>
              <w:bottom w:w="29" w:type="dxa"/>
              <w:right w:w="115" w:type="dxa"/>
            </w:tcMar>
          </w:tcPr>
          <w:p w14:paraId="7EE9B4C4" w14:textId="77777777" w:rsidR="008C26E8" w:rsidRDefault="008C26E8" w:rsidP="00074BA0">
            <w:pPr>
              <w:pStyle w:val="PolicyHeaderFill"/>
            </w:pPr>
            <w:r>
              <w:t>CPL-04-05</w:t>
            </w:r>
          </w:p>
        </w:tc>
        <w:tc>
          <w:tcPr>
            <w:tcW w:w="828" w:type="pct"/>
            <w:tcBorders>
              <w:top w:val="nil"/>
            </w:tcBorders>
            <w:shd w:val="clear" w:color="auto" w:fill="auto"/>
            <w:tcMar>
              <w:top w:w="29" w:type="dxa"/>
              <w:left w:w="115" w:type="dxa"/>
              <w:bottom w:w="29" w:type="dxa"/>
              <w:right w:w="115" w:type="dxa"/>
            </w:tcMar>
          </w:tcPr>
          <w:p w14:paraId="66C8C4D4" w14:textId="77777777" w:rsidR="008C26E8" w:rsidRDefault="008C26E8" w:rsidP="002B50C6">
            <w:pPr>
              <w:pStyle w:val="PolicyHeaderLabel"/>
            </w:pPr>
            <w:r>
              <w:t>Effective Date</w:t>
            </w:r>
          </w:p>
        </w:tc>
        <w:tc>
          <w:tcPr>
            <w:tcW w:w="1010" w:type="pct"/>
            <w:tcBorders>
              <w:top w:val="nil"/>
            </w:tcBorders>
            <w:shd w:val="clear" w:color="auto" w:fill="auto"/>
            <w:tcMar>
              <w:top w:w="29" w:type="dxa"/>
              <w:left w:w="115" w:type="dxa"/>
              <w:bottom w:w="29" w:type="dxa"/>
              <w:right w:w="115" w:type="dxa"/>
            </w:tcMar>
          </w:tcPr>
          <w:p w14:paraId="3F33DC25" w14:textId="77777777" w:rsidR="008C26E8" w:rsidRDefault="00A61B23" w:rsidP="006A7544">
            <w:pPr>
              <w:pStyle w:val="PolicyHeaderFill"/>
            </w:pPr>
            <w:r>
              <w:t>MM/DD/YYYY</w:t>
            </w:r>
          </w:p>
        </w:tc>
        <w:tc>
          <w:tcPr>
            <w:tcW w:w="422" w:type="pct"/>
            <w:tcBorders>
              <w:top w:val="nil"/>
            </w:tcBorders>
            <w:shd w:val="clear" w:color="auto" w:fill="auto"/>
            <w:tcMar>
              <w:top w:w="29" w:type="dxa"/>
              <w:left w:w="115" w:type="dxa"/>
              <w:bottom w:w="29" w:type="dxa"/>
              <w:right w:w="115" w:type="dxa"/>
            </w:tcMar>
          </w:tcPr>
          <w:p w14:paraId="43915D32" w14:textId="77777777" w:rsidR="008C26E8" w:rsidRDefault="008C26E8" w:rsidP="006A7544">
            <w:pPr>
              <w:pStyle w:val="PolicyHeaderLabel"/>
            </w:pPr>
            <w:r>
              <w:t>Email</w:t>
            </w:r>
          </w:p>
        </w:tc>
        <w:tc>
          <w:tcPr>
            <w:tcW w:w="1510" w:type="pct"/>
            <w:tcBorders>
              <w:top w:val="nil"/>
            </w:tcBorders>
            <w:shd w:val="clear" w:color="auto" w:fill="auto"/>
            <w:tcMar>
              <w:top w:w="29" w:type="dxa"/>
              <w:left w:w="115" w:type="dxa"/>
              <w:bottom w:w="29" w:type="dxa"/>
              <w:right w:w="115" w:type="dxa"/>
            </w:tcMar>
          </w:tcPr>
          <w:p w14:paraId="3AB11444" w14:textId="77777777" w:rsidR="008C26E8" w:rsidRDefault="008C26E8" w:rsidP="009C6353">
            <w:pPr>
              <w:pStyle w:val="PolicyHeaderFill"/>
            </w:pPr>
            <w:r>
              <w:t>policy</w:t>
            </w:r>
            <w:r w:rsidRPr="00706542">
              <w:t>@</w:t>
            </w:r>
            <w:r>
              <w:t>companyx.com</w:t>
            </w:r>
          </w:p>
        </w:tc>
      </w:tr>
      <w:tr w:rsidR="008C26E8" w14:paraId="393E14A0" w14:textId="77777777" w:rsidTr="00AA2015">
        <w:tc>
          <w:tcPr>
            <w:tcW w:w="575" w:type="pct"/>
            <w:shd w:val="clear" w:color="auto" w:fill="auto"/>
            <w:tcMar>
              <w:top w:w="29" w:type="dxa"/>
              <w:left w:w="115" w:type="dxa"/>
              <w:bottom w:w="29" w:type="dxa"/>
              <w:right w:w="115" w:type="dxa"/>
            </w:tcMar>
          </w:tcPr>
          <w:p w14:paraId="1A41E240" w14:textId="77777777" w:rsidR="008C26E8" w:rsidRDefault="008C26E8" w:rsidP="002B50C6">
            <w:pPr>
              <w:pStyle w:val="PolicyHeaderLabel"/>
            </w:pPr>
            <w:r>
              <w:t>Version</w:t>
            </w:r>
          </w:p>
        </w:tc>
        <w:tc>
          <w:tcPr>
            <w:tcW w:w="654" w:type="pct"/>
            <w:shd w:val="clear" w:color="auto" w:fill="auto"/>
            <w:tcMar>
              <w:top w:w="29" w:type="dxa"/>
              <w:left w:w="115" w:type="dxa"/>
              <w:bottom w:w="29" w:type="dxa"/>
              <w:right w:w="115" w:type="dxa"/>
            </w:tcMar>
          </w:tcPr>
          <w:p w14:paraId="6C916626" w14:textId="77777777" w:rsidR="008C26E8" w:rsidRDefault="008C26E8" w:rsidP="002B50C6">
            <w:pPr>
              <w:pStyle w:val="PolicyHeaderFill"/>
            </w:pPr>
            <w:r>
              <w:t>1.0</w:t>
            </w:r>
          </w:p>
        </w:tc>
        <w:tc>
          <w:tcPr>
            <w:tcW w:w="828" w:type="pct"/>
            <w:shd w:val="clear" w:color="auto" w:fill="auto"/>
            <w:tcMar>
              <w:top w:w="29" w:type="dxa"/>
              <w:left w:w="115" w:type="dxa"/>
              <w:bottom w:w="29" w:type="dxa"/>
              <w:right w:w="115" w:type="dxa"/>
            </w:tcMar>
          </w:tcPr>
          <w:p w14:paraId="2108A2CA" w14:textId="77777777" w:rsidR="008C26E8" w:rsidRDefault="008C26E8" w:rsidP="002B50C6">
            <w:pPr>
              <w:pStyle w:val="PolicyHeaderLabel"/>
            </w:pPr>
            <w:r>
              <w:t xml:space="preserve">Contact </w:t>
            </w:r>
          </w:p>
        </w:tc>
        <w:tc>
          <w:tcPr>
            <w:tcW w:w="1010" w:type="pct"/>
            <w:shd w:val="clear" w:color="auto" w:fill="auto"/>
            <w:tcMar>
              <w:top w:w="29" w:type="dxa"/>
              <w:left w:w="115" w:type="dxa"/>
              <w:bottom w:w="29" w:type="dxa"/>
              <w:right w:w="115" w:type="dxa"/>
            </w:tcMar>
          </w:tcPr>
          <w:p w14:paraId="6359D0E9" w14:textId="77777777" w:rsidR="008C26E8" w:rsidRDefault="008C26E8" w:rsidP="006A7544">
            <w:pPr>
              <w:pStyle w:val="PolicyHeaderFill"/>
            </w:pPr>
            <w:r>
              <w:t>Policy Author</w:t>
            </w:r>
          </w:p>
        </w:tc>
        <w:tc>
          <w:tcPr>
            <w:tcW w:w="422" w:type="pct"/>
            <w:shd w:val="clear" w:color="auto" w:fill="auto"/>
            <w:tcMar>
              <w:top w:w="29" w:type="dxa"/>
              <w:left w:w="115" w:type="dxa"/>
              <w:bottom w:w="29" w:type="dxa"/>
              <w:right w:w="115" w:type="dxa"/>
            </w:tcMar>
          </w:tcPr>
          <w:p w14:paraId="07B056F6" w14:textId="77777777" w:rsidR="008C26E8" w:rsidRDefault="008C26E8" w:rsidP="006A7544">
            <w:pPr>
              <w:pStyle w:val="PolicyHeaderLabel"/>
            </w:pPr>
            <w:r>
              <w:t>Phone</w:t>
            </w:r>
          </w:p>
        </w:tc>
        <w:tc>
          <w:tcPr>
            <w:tcW w:w="1510" w:type="pct"/>
            <w:shd w:val="clear" w:color="auto" w:fill="auto"/>
            <w:tcMar>
              <w:top w:w="29" w:type="dxa"/>
              <w:left w:w="115" w:type="dxa"/>
              <w:bottom w:w="29" w:type="dxa"/>
              <w:right w:w="115" w:type="dxa"/>
            </w:tcMar>
          </w:tcPr>
          <w:p w14:paraId="1304C674" w14:textId="77777777" w:rsidR="008C26E8" w:rsidRDefault="008C26E8" w:rsidP="009C6353">
            <w:pPr>
              <w:pStyle w:val="PolicyHeaderFill"/>
            </w:pPr>
            <w:r>
              <w:t>888-641-0500</w:t>
            </w:r>
          </w:p>
        </w:tc>
      </w:tr>
    </w:tbl>
    <w:p w14:paraId="1DAA18B7" w14:textId="77777777" w:rsidR="00AA2015" w:rsidRDefault="00AA2015" w:rsidP="00813E16">
      <w:pPr>
        <w:pStyle w:val="PolicySubheader"/>
        <w:spacing w:before="120"/>
      </w:pPr>
      <w:bookmarkStart w:id="0" w:name="_Toc242654773"/>
    </w:p>
    <w:p w14:paraId="2182EF1C" w14:textId="77777777" w:rsidR="00A61B23" w:rsidRDefault="005B23C5" w:rsidP="00813E16">
      <w:pPr>
        <w:pStyle w:val="PolicySubheader"/>
        <w:spacing w:before="120"/>
        <w:rPr>
          <w:noProof/>
        </w:rPr>
      </w:pPr>
      <w:r w:rsidRPr="0029313E">
        <w:t>Table of Contents</w:t>
      </w:r>
      <w:bookmarkEnd w:id="0"/>
      <w:r w:rsidR="00806E88">
        <w:fldChar w:fldCharType="begin"/>
      </w:r>
      <w:r w:rsidR="0085160B">
        <w:instrText xml:space="preserve"> TOC \o "1-3" \h \z \u </w:instrText>
      </w:r>
      <w:r w:rsidR="00806E88">
        <w:fldChar w:fldCharType="separate"/>
      </w:r>
    </w:p>
    <w:p w14:paraId="371BDBB7" w14:textId="77777777" w:rsidR="00A61B23" w:rsidRPr="00C3679D" w:rsidRDefault="00E20226">
      <w:pPr>
        <w:pStyle w:val="TOC1"/>
        <w:tabs>
          <w:tab w:val="right" w:leader="dot" w:pos="9350"/>
        </w:tabs>
        <w:rPr>
          <w:rFonts w:ascii="Calibri" w:hAnsi="Calibri"/>
          <w:noProof/>
          <w:szCs w:val="22"/>
        </w:rPr>
      </w:pPr>
      <w:hyperlink w:anchor="_Toc457917511" w:history="1">
        <w:r w:rsidR="00A61B23" w:rsidRPr="00B404A7">
          <w:rPr>
            <w:rStyle w:val="Hyperlink"/>
            <w:bCs/>
            <w:noProof/>
          </w:rPr>
          <w:t>Purpose</w:t>
        </w:r>
        <w:r w:rsidR="00A61B23">
          <w:rPr>
            <w:noProof/>
            <w:webHidden/>
          </w:rPr>
          <w:tab/>
        </w:r>
        <w:r w:rsidR="00A61B23">
          <w:rPr>
            <w:noProof/>
            <w:webHidden/>
          </w:rPr>
          <w:fldChar w:fldCharType="begin"/>
        </w:r>
        <w:r w:rsidR="00A61B23">
          <w:rPr>
            <w:noProof/>
            <w:webHidden/>
          </w:rPr>
          <w:instrText xml:space="preserve"> PAGEREF _Toc457917511 \h </w:instrText>
        </w:r>
        <w:r w:rsidR="00A61B23">
          <w:rPr>
            <w:noProof/>
            <w:webHidden/>
          </w:rPr>
        </w:r>
        <w:r w:rsidR="00A61B23">
          <w:rPr>
            <w:noProof/>
            <w:webHidden/>
          </w:rPr>
          <w:fldChar w:fldCharType="separate"/>
        </w:r>
        <w:r w:rsidR="00A61B23">
          <w:rPr>
            <w:noProof/>
            <w:webHidden/>
          </w:rPr>
          <w:t>1</w:t>
        </w:r>
        <w:r w:rsidR="00A61B23">
          <w:rPr>
            <w:noProof/>
            <w:webHidden/>
          </w:rPr>
          <w:fldChar w:fldCharType="end"/>
        </w:r>
      </w:hyperlink>
    </w:p>
    <w:p w14:paraId="42C8CD74" w14:textId="77777777" w:rsidR="00A61B23" w:rsidRPr="00C3679D" w:rsidRDefault="00E20226">
      <w:pPr>
        <w:pStyle w:val="TOC1"/>
        <w:tabs>
          <w:tab w:val="right" w:leader="dot" w:pos="9350"/>
        </w:tabs>
        <w:rPr>
          <w:rFonts w:ascii="Calibri" w:hAnsi="Calibri"/>
          <w:noProof/>
          <w:szCs w:val="22"/>
        </w:rPr>
      </w:pPr>
      <w:hyperlink w:anchor="_Toc457917512" w:history="1">
        <w:r w:rsidR="00A61B23" w:rsidRPr="00B404A7">
          <w:rPr>
            <w:rStyle w:val="Hyperlink"/>
            <w:bCs/>
            <w:noProof/>
          </w:rPr>
          <w:t>Scope</w:t>
        </w:r>
        <w:r w:rsidR="00A61B23">
          <w:rPr>
            <w:noProof/>
            <w:webHidden/>
          </w:rPr>
          <w:tab/>
        </w:r>
        <w:r w:rsidR="00A61B23">
          <w:rPr>
            <w:noProof/>
            <w:webHidden/>
          </w:rPr>
          <w:fldChar w:fldCharType="begin"/>
        </w:r>
        <w:r w:rsidR="00A61B23">
          <w:rPr>
            <w:noProof/>
            <w:webHidden/>
          </w:rPr>
          <w:instrText xml:space="preserve"> PAGEREF _Toc457917512 \h </w:instrText>
        </w:r>
        <w:r w:rsidR="00A61B23">
          <w:rPr>
            <w:noProof/>
            <w:webHidden/>
          </w:rPr>
        </w:r>
        <w:r w:rsidR="00A61B23">
          <w:rPr>
            <w:noProof/>
            <w:webHidden/>
          </w:rPr>
          <w:fldChar w:fldCharType="separate"/>
        </w:r>
        <w:r w:rsidR="00A61B23">
          <w:rPr>
            <w:noProof/>
            <w:webHidden/>
          </w:rPr>
          <w:t>1</w:t>
        </w:r>
        <w:r w:rsidR="00A61B23">
          <w:rPr>
            <w:noProof/>
            <w:webHidden/>
          </w:rPr>
          <w:fldChar w:fldCharType="end"/>
        </w:r>
      </w:hyperlink>
    </w:p>
    <w:p w14:paraId="2C7EAA0B" w14:textId="77777777" w:rsidR="00A61B23" w:rsidRPr="00C3679D" w:rsidRDefault="00E20226">
      <w:pPr>
        <w:pStyle w:val="TOC1"/>
        <w:tabs>
          <w:tab w:val="right" w:leader="dot" w:pos="9350"/>
        </w:tabs>
        <w:rPr>
          <w:rFonts w:ascii="Calibri" w:hAnsi="Calibri"/>
          <w:noProof/>
          <w:szCs w:val="22"/>
        </w:rPr>
      </w:pPr>
      <w:hyperlink w:anchor="_Toc457917513" w:history="1">
        <w:r w:rsidR="00A61B23" w:rsidRPr="00B404A7">
          <w:rPr>
            <w:rStyle w:val="Hyperlink"/>
            <w:bCs/>
            <w:noProof/>
          </w:rPr>
          <w:t>Policy</w:t>
        </w:r>
        <w:r w:rsidR="00A61B23">
          <w:rPr>
            <w:noProof/>
            <w:webHidden/>
          </w:rPr>
          <w:tab/>
        </w:r>
        <w:r w:rsidR="00A61B23">
          <w:rPr>
            <w:noProof/>
            <w:webHidden/>
          </w:rPr>
          <w:fldChar w:fldCharType="begin"/>
        </w:r>
        <w:r w:rsidR="00A61B23">
          <w:rPr>
            <w:noProof/>
            <w:webHidden/>
          </w:rPr>
          <w:instrText xml:space="preserve"> PAGEREF _Toc457917513 \h </w:instrText>
        </w:r>
        <w:r w:rsidR="00A61B23">
          <w:rPr>
            <w:noProof/>
            <w:webHidden/>
          </w:rPr>
        </w:r>
        <w:r w:rsidR="00A61B23">
          <w:rPr>
            <w:noProof/>
            <w:webHidden/>
          </w:rPr>
          <w:fldChar w:fldCharType="separate"/>
        </w:r>
        <w:r w:rsidR="00A61B23">
          <w:rPr>
            <w:noProof/>
            <w:webHidden/>
          </w:rPr>
          <w:t>1</w:t>
        </w:r>
        <w:r w:rsidR="00A61B23">
          <w:rPr>
            <w:noProof/>
            <w:webHidden/>
          </w:rPr>
          <w:fldChar w:fldCharType="end"/>
        </w:r>
      </w:hyperlink>
    </w:p>
    <w:p w14:paraId="124E25BD" w14:textId="77777777" w:rsidR="00A61B23" w:rsidRPr="00C3679D" w:rsidRDefault="00E20226">
      <w:pPr>
        <w:pStyle w:val="TOC3"/>
        <w:tabs>
          <w:tab w:val="right" w:leader="dot" w:pos="9350"/>
        </w:tabs>
        <w:rPr>
          <w:rFonts w:ascii="Calibri" w:hAnsi="Calibri"/>
          <w:noProof/>
          <w:szCs w:val="22"/>
        </w:rPr>
      </w:pPr>
      <w:hyperlink w:anchor="_Toc457917514" w:history="1">
        <w:r w:rsidR="00A61B23" w:rsidRPr="00B404A7">
          <w:rPr>
            <w:rStyle w:val="Hyperlink"/>
            <w:noProof/>
          </w:rPr>
          <w:t>System Usage</w:t>
        </w:r>
        <w:r w:rsidR="00A61B23">
          <w:rPr>
            <w:noProof/>
            <w:webHidden/>
          </w:rPr>
          <w:tab/>
        </w:r>
        <w:r w:rsidR="00A61B23">
          <w:rPr>
            <w:noProof/>
            <w:webHidden/>
          </w:rPr>
          <w:fldChar w:fldCharType="begin"/>
        </w:r>
        <w:r w:rsidR="00A61B23">
          <w:rPr>
            <w:noProof/>
            <w:webHidden/>
          </w:rPr>
          <w:instrText xml:space="preserve"> PAGEREF _Toc457917514 \h </w:instrText>
        </w:r>
        <w:r w:rsidR="00A61B23">
          <w:rPr>
            <w:noProof/>
            <w:webHidden/>
          </w:rPr>
        </w:r>
        <w:r w:rsidR="00A61B23">
          <w:rPr>
            <w:noProof/>
            <w:webHidden/>
          </w:rPr>
          <w:fldChar w:fldCharType="separate"/>
        </w:r>
        <w:r w:rsidR="00A61B23">
          <w:rPr>
            <w:noProof/>
            <w:webHidden/>
          </w:rPr>
          <w:t>1</w:t>
        </w:r>
        <w:r w:rsidR="00A61B23">
          <w:rPr>
            <w:noProof/>
            <w:webHidden/>
          </w:rPr>
          <w:fldChar w:fldCharType="end"/>
        </w:r>
      </w:hyperlink>
    </w:p>
    <w:p w14:paraId="5B0A90E9" w14:textId="77777777" w:rsidR="00A61B23" w:rsidRPr="00C3679D" w:rsidRDefault="00E20226">
      <w:pPr>
        <w:pStyle w:val="TOC3"/>
        <w:tabs>
          <w:tab w:val="right" w:leader="dot" w:pos="9350"/>
        </w:tabs>
        <w:rPr>
          <w:rFonts w:ascii="Calibri" w:hAnsi="Calibri"/>
          <w:noProof/>
          <w:szCs w:val="22"/>
        </w:rPr>
      </w:pPr>
      <w:hyperlink w:anchor="_Toc457917515" w:history="1">
        <w:r w:rsidR="00A61B23" w:rsidRPr="00B404A7">
          <w:rPr>
            <w:rStyle w:val="Hyperlink"/>
            <w:noProof/>
          </w:rPr>
          <w:t>User IDs and Passwords</w:t>
        </w:r>
        <w:r w:rsidR="00A61B23">
          <w:rPr>
            <w:noProof/>
            <w:webHidden/>
          </w:rPr>
          <w:tab/>
        </w:r>
        <w:r w:rsidR="00A61B23">
          <w:rPr>
            <w:noProof/>
            <w:webHidden/>
          </w:rPr>
          <w:fldChar w:fldCharType="begin"/>
        </w:r>
        <w:r w:rsidR="00A61B23">
          <w:rPr>
            <w:noProof/>
            <w:webHidden/>
          </w:rPr>
          <w:instrText xml:space="preserve"> PAGEREF _Toc457917515 \h </w:instrText>
        </w:r>
        <w:r w:rsidR="00A61B23">
          <w:rPr>
            <w:noProof/>
            <w:webHidden/>
          </w:rPr>
        </w:r>
        <w:r w:rsidR="00A61B23">
          <w:rPr>
            <w:noProof/>
            <w:webHidden/>
          </w:rPr>
          <w:fldChar w:fldCharType="separate"/>
        </w:r>
        <w:r w:rsidR="00A61B23">
          <w:rPr>
            <w:noProof/>
            <w:webHidden/>
          </w:rPr>
          <w:t>2</w:t>
        </w:r>
        <w:r w:rsidR="00A61B23">
          <w:rPr>
            <w:noProof/>
            <w:webHidden/>
          </w:rPr>
          <w:fldChar w:fldCharType="end"/>
        </w:r>
      </w:hyperlink>
    </w:p>
    <w:p w14:paraId="3F661EE6" w14:textId="77777777" w:rsidR="00A61B23" w:rsidRPr="00C3679D" w:rsidRDefault="00E20226">
      <w:pPr>
        <w:pStyle w:val="TOC3"/>
        <w:tabs>
          <w:tab w:val="right" w:leader="dot" w:pos="9350"/>
        </w:tabs>
        <w:rPr>
          <w:rFonts w:ascii="Calibri" w:hAnsi="Calibri"/>
          <w:noProof/>
          <w:szCs w:val="22"/>
        </w:rPr>
      </w:pPr>
      <w:hyperlink w:anchor="_Toc457917516" w:history="1">
        <w:r w:rsidR="00A61B23" w:rsidRPr="00B404A7">
          <w:rPr>
            <w:rStyle w:val="Hyperlink"/>
            <w:noProof/>
          </w:rPr>
          <w:t>Electronic Messaging</w:t>
        </w:r>
        <w:r w:rsidR="00A61B23">
          <w:rPr>
            <w:noProof/>
            <w:webHidden/>
          </w:rPr>
          <w:tab/>
        </w:r>
        <w:r w:rsidR="00A61B23">
          <w:rPr>
            <w:noProof/>
            <w:webHidden/>
          </w:rPr>
          <w:fldChar w:fldCharType="begin"/>
        </w:r>
        <w:r w:rsidR="00A61B23">
          <w:rPr>
            <w:noProof/>
            <w:webHidden/>
          </w:rPr>
          <w:instrText xml:space="preserve"> PAGEREF _Toc457917516 \h </w:instrText>
        </w:r>
        <w:r w:rsidR="00A61B23">
          <w:rPr>
            <w:noProof/>
            <w:webHidden/>
          </w:rPr>
        </w:r>
        <w:r w:rsidR="00A61B23">
          <w:rPr>
            <w:noProof/>
            <w:webHidden/>
          </w:rPr>
          <w:fldChar w:fldCharType="separate"/>
        </w:r>
        <w:r w:rsidR="00A61B23">
          <w:rPr>
            <w:noProof/>
            <w:webHidden/>
          </w:rPr>
          <w:t>2</w:t>
        </w:r>
        <w:r w:rsidR="00A61B23">
          <w:rPr>
            <w:noProof/>
            <w:webHidden/>
          </w:rPr>
          <w:fldChar w:fldCharType="end"/>
        </w:r>
      </w:hyperlink>
    </w:p>
    <w:p w14:paraId="4BBC38BE" w14:textId="77777777" w:rsidR="00A61B23" w:rsidRPr="00C3679D" w:rsidRDefault="00E20226">
      <w:pPr>
        <w:pStyle w:val="TOC3"/>
        <w:tabs>
          <w:tab w:val="right" w:leader="dot" w:pos="9350"/>
        </w:tabs>
        <w:rPr>
          <w:rFonts w:ascii="Calibri" w:hAnsi="Calibri"/>
          <w:noProof/>
          <w:szCs w:val="22"/>
        </w:rPr>
      </w:pPr>
      <w:hyperlink w:anchor="_Toc457917517" w:history="1">
        <w:r w:rsidR="00A61B23" w:rsidRPr="00B404A7">
          <w:rPr>
            <w:rStyle w:val="Hyperlink"/>
            <w:noProof/>
          </w:rPr>
          <w:t>Internet and Web Usage</w:t>
        </w:r>
        <w:r w:rsidR="00A61B23">
          <w:rPr>
            <w:noProof/>
            <w:webHidden/>
          </w:rPr>
          <w:tab/>
        </w:r>
        <w:r w:rsidR="00A61B23">
          <w:rPr>
            <w:noProof/>
            <w:webHidden/>
          </w:rPr>
          <w:fldChar w:fldCharType="begin"/>
        </w:r>
        <w:r w:rsidR="00A61B23">
          <w:rPr>
            <w:noProof/>
            <w:webHidden/>
          </w:rPr>
          <w:instrText xml:space="preserve"> PAGEREF _Toc457917517 \h </w:instrText>
        </w:r>
        <w:r w:rsidR="00A61B23">
          <w:rPr>
            <w:noProof/>
            <w:webHidden/>
          </w:rPr>
        </w:r>
        <w:r w:rsidR="00A61B23">
          <w:rPr>
            <w:noProof/>
            <w:webHidden/>
          </w:rPr>
          <w:fldChar w:fldCharType="separate"/>
        </w:r>
        <w:r w:rsidR="00A61B23">
          <w:rPr>
            <w:noProof/>
            <w:webHidden/>
          </w:rPr>
          <w:t>3</w:t>
        </w:r>
        <w:r w:rsidR="00A61B23">
          <w:rPr>
            <w:noProof/>
            <w:webHidden/>
          </w:rPr>
          <w:fldChar w:fldCharType="end"/>
        </w:r>
      </w:hyperlink>
    </w:p>
    <w:p w14:paraId="0ED9AD0A" w14:textId="77777777" w:rsidR="00A61B23" w:rsidRPr="00C3679D" w:rsidRDefault="00E20226">
      <w:pPr>
        <w:pStyle w:val="TOC3"/>
        <w:tabs>
          <w:tab w:val="right" w:leader="dot" w:pos="9350"/>
        </w:tabs>
        <w:rPr>
          <w:rFonts w:ascii="Calibri" w:hAnsi="Calibri"/>
          <w:noProof/>
          <w:szCs w:val="22"/>
        </w:rPr>
      </w:pPr>
      <w:hyperlink w:anchor="_Toc457917518" w:history="1">
        <w:r w:rsidR="00A61B23" w:rsidRPr="00B404A7">
          <w:rPr>
            <w:rStyle w:val="Hyperlink"/>
            <w:noProof/>
          </w:rPr>
          <w:t>Data Storage and Copyrights</w:t>
        </w:r>
        <w:r w:rsidR="00A61B23">
          <w:rPr>
            <w:noProof/>
            <w:webHidden/>
          </w:rPr>
          <w:tab/>
        </w:r>
        <w:r w:rsidR="00A61B23">
          <w:rPr>
            <w:noProof/>
            <w:webHidden/>
          </w:rPr>
          <w:fldChar w:fldCharType="begin"/>
        </w:r>
        <w:r w:rsidR="00A61B23">
          <w:rPr>
            <w:noProof/>
            <w:webHidden/>
          </w:rPr>
          <w:instrText xml:space="preserve"> PAGEREF _Toc457917518 \h </w:instrText>
        </w:r>
        <w:r w:rsidR="00A61B23">
          <w:rPr>
            <w:noProof/>
            <w:webHidden/>
          </w:rPr>
        </w:r>
        <w:r w:rsidR="00A61B23">
          <w:rPr>
            <w:noProof/>
            <w:webHidden/>
          </w:rPr>
          <w:fldChar w:fldCharType="separate"/>
        </w:r>
        <w:r w:rsidR="00A61B23">
          <w:rPr>
            <w:noProof/>
            <w:webHidden/>
          </w:rPr>
          <w:t>3</w:t>
        </w:r>
        <w:r w:rsidR="00A61B23">
          <w:rPr>
            <w:noProof/>
            <w:webHidden/>
          </w:rPr>
          <w:fldChar w:fldCharType="end"/>
        </w:r>
      </w:hyperlink>
    </w:p>
    <w:p w14:paraId="4FD00E35" w14:textId="77777777" w:rsidR="00A61B23" w:rsidRPr="00C3679D" w:rsidRDefault="00E20226">
      <w:pPr>
        <w:pStyle w:val="TOC3"/>
        <w:tabs>
          <w:tab w:val="right" w:leader="dot" w:pos="9350"/>
        </w:tabs>
        <w:rPr>
          <w:rFonts w:ascii="Calibri" w:hAnsi="Calibri"/>
          <w:noProof/>
          <w:szCs w:val="22"/>
        </w:rPr>
      </w:pPr>
      <w:hyperlink w:anchor="_Toc457917519" w:history="1">
        <w:r w:rsidR="00A61B23" w:rsidRPr="00B404A7">
          <w:rPr>
            <w:rStyle w:val="Hyperlink"/>
            <w:noProof/>
          </w:rPr>
          <w:t>Personal Equipment</w:t>
        </w:r>
        <w:r w:rsidR="00A61B23">
          <w:rPr>
            <w:noProof/>
            <w:webHidden/>
          </w:rPr>
          <w:tab/>
        </w:r>
        <w:r w:rsidR="00A61B23">
          <w:rPr>
            <w:noProof/>
            <w:webHidden/>
          </w:rPr>
          <w:fldChar w:fldCharType="begin"/>
        </w:r>
        <w:r w:rsidR="00A61B23">
          <w:rPr>
            <w:noProof/>
            <w:webHidden/>
          </w:rPr>
          <w:instrText xml:space="preserve"> PAGEREF _Toc457917519 \h </w:instrText>
        </w:r>
        <w:r w:rsidR="00A61B23">
          <w:rPr>
            <w:noProof/>
            <w:webHidden/>
          </w:rPr>
        </w:r>
        <w:r w:rsidR="00A61B23">
          <w:rPr>
            <w:noProof/>
            <w:webHidden/>
          </w:rPr>
          <w:fldChar w:fldCharType="separate"/>
        </w:r>
        <w:r w:rsidR="00A61B23">
          <w:rPr>
            <w:noProof/>
            <w:webHidden/>
          </w:rPr>
          <w:t>4</w:t>
        </w:r>
        <w:r w:rsidR="00A61B23">
          <w:rPr>
            <w:noProof/>
            <w:webHidden/>
          </w:rPr>
          <w:fldChar w:fldCharType="end"/>
        </w:r>
      </w:hyperlink>
    </w:p>
    <w:p w14:paraId="7BBDDC38" w14:textId="77777777" w:rsidR="00A61B23" w:rsidRPr="00C3679D" w:rsidRDefault="00E20226">
      <w:pPr>
        <w:pStyle w:val="TOC3"/>
        <w:tabs>
          <w:tab w:val="right" w:leader="dot" w:pos="9350"/>
        </w:tabs>
        <w:rPr>
          <w:rFonts w:ascii="Calibri" w:hAnsi="Calibri"/>
          <w:noProof/>
          <w:szCs w:val="22"/>
        </w:rPr>
      </w:pPr>
      <w:hyperlink w:anchor="_Toc457917520" w:history="1">
        <w:r w:rsidR="00A61B23" w:rsidRPr="00B404A7">
          <w:rPr>
            <w:rStyle w:val="Hyperlink"/>
            <w:noProof/>
          </w:rPr>
          <w:t>Telephones and Voice Mail</w:t>
        </w:r>
        <w:r w:rsidR="00A61B23">
          <w:rPr>
            <w:noProof/>
            <w:webHidden/>
          </w:rPr>
          <w:tab/>
        </w:r>
        <w:r w:rsidR="00A61B23">
          <w:rPr>
            <w:noProof/>
            <w:webHidden/>
          </w:rPr>
          <w:fldChar w:fldCharType="begin"/>
        </w:r>
        <w:r w:rsidR="00A61B23">
          <w:rPr>
            <w:noProof/>
            <w:webHidden/>
          </w:rPr>
          <w:instrText xml:space="preserve"> PAGEREF _Toc457917520 \h </w:instrText>
        </w:r>
        <w:r w:rsidR="00A61B23">
          <w:rPr>
            <w:noProof/>
            <w:webHidden/>
          </w:rPr>
        </w:r>
        <w:r w:rsidR="00A61B23">
          <w:rPr>
            <w:noProof/>
            <w:webHidden/>
          </w:rPr>
          <w:fldChar w:fldCharType="separate"/>
        </w:r>
        <w:r w:rsidR="00A61B23">
          <w:rPr>
            <w:noProof/>
            <w:webHidden/>
          </w:rPr>
          <w:t>4</w:t>
        </w:r>
        <w:r w:rsidR="00A61B23">
          <w:rPr>
            <w:noProof/>
            <w:webHidden/>
          </w:rPr>
          <w:fldChar w:fldCharType="end"/>
        </w:r>
      </w:hyperlink>
    </w:p>
    <w:p w14:paraId="3DB64FCC" w14:textId="77777777" w:rsidR="00A61B23" w:rsidRPr="00C3679D" w:rsidRDefault="00E20226">
      <w:pPr>
        <w:pStyle w:val="TOC3"/>
        <w:tabs>
          <w:tab w:val="right" w:leader="dot" w:pos="9350"/>
        </w:tabs>
        <w:rPr>
          <w:rFonts w:ascii="Calibri" w:hAnsi="Calibri"/>
          <w:noProof/>
          <w:szCs w:val="22"/>
        </w:rPr>
      </w:pPr>
      <w:hyperlink w:anchor="_Toc457917521" w:history="1">
        <w:r w:rsidR="00A61B23" w:rsidRPr="00B404A7">
          <w:rPr>
            <w:rStyle w:val="Hyperlink"/>
            <w:noProof/>
          </w:rPr>
          <w:t>Clear Desks and Clear Screen</w:t>
        </w:r>
        <w:r w:rsidR="00A61B23">
          <w:rPr>
            <w:noProof/>
            <w:webHidden/>
          </w:rPr>
          <w:tab/>
        </w:r>
        <w:r w:rsidR="00A61B23">
          <w:rPr>
            <w:noProof/>
            <w:webHidden/>
          </w:rPr>
          <w:fldChar w:fldCharType="begin"/>
        </w:r>
        <w:r w:rsidR="00A61B23">
          <w:rPr>
            <w:noProof/>
            <w:webHidden/>
          </w:rPr>
          <w:instrText xml:space="preserve"> PAGEREF _Toc457917521 \h </w:instrText>
        </w:r>
        <w:r w:rsidR="00A61B23">
          <w:rPr>
            <w:noProof/>
            <w:webHidden/>
          </w:rPr>
        </w:r>
        <w:r w:rsidR="00A61B23">
          <w:rPr>
            <w:noProof/>
            <w:webHidden/>
          </w:rPr>
          <w:fldChar w:fldCharType="separate"/>
        </w:r>
        <w:r w:rsidR="00A61B23">
          <w:rPr>
            <w:noProof/>
            <w:webHidden/>
          </w:rPr>
          <w:t>4</w:t>
        </w:r>
        <w:r w:rsidR="00A61B23">
          <w:rPr>
            <w:noProof/>
            <w:webHidden/>
          </w:rPr>
          <w:fldChar w:fldCharType="end"/>
        </w:r>
      </w:hyperlink>
    </w:p>
    <w:p w14:paraId="16201DE7" w14:textId="77777777" w:rsidR="00A61B23" w:rsidRPr="00C3679D" w:rsidRDefault="00E20226">
      <w:pPr>
        <w:pStyle w:val="TOC3"/>
        <w:tabs>
          <w:tab w:val="right" w:leader="dot" w:pos="9350"/>
        </w:tabs>
        <w:rPr>
          <w:rFonts w:ascii="Calibri" w:hAnsi="Calibri"/>
          <w:noProof/>
          <w:szCs w:val="22"/>
        </w:rPr>
      </w:pPr>
      <w:hyperlink w:anchor="_Toc457917522" w:history="1">
        <w:r w:rsidR="00A61B23" w:rsidRPr="00B404A7">
          <w:rPr>
            <w:rStyle w:val="Hyperlink"/>
            <w:noProof/>
          </w:rPr>
          <w:t>Security Incident Reporting</w:t>
        </w:r>
        <w:r w:rsidR="00A61B23">
          <w:rPr>
            <w:noProof/>
            <w:webHidden/>
          </w:rPr>
          <w:tab/>
        </w:r>
        <w:r w:rsidR="00A61B23">
          <w:rPr>
            <w:noProof/>
            <w:webHidden/>
          </w:rPr>
          <w:fldChar w:fldCharType="begin"/>
        </w:r>
        <w:r w:rsidR="00A61B23">
          <w:rPr>
            <w:noProof/>
            <w:webHidden/>
          </w:rPr>
          <w:instrText xml:space="preserve"> PAGEREF _Toc457917522 \h </w:instrText>
        </w:r>
        <w:r w:rsidR="00A61B23">
          <w:rPr>
            <w:noProof/>
            <w:webHidden/>
          </w:rPr>
        </w:r>
        <w:r w:rsidR="00A61B23">
          <w:rPr>
            <w:noProof/>
            <w:webHidden/>
          </w:rPr>
          <w:fldChar w:fldCharType="separate"/>
        </w:r>
        <w:r w:rsidR="00A61B23">
          <w:rPr>
            <w:noProof/>
            <w:webHidden/>
          </w:rPr>
          <w:t>4</w:t>
        </w:r>
        <w:r w:rsidR="00A61B23">
          <w:rPr>
            <w:noProof/>
            <w:webHidden/>
          </w:rPr>
          <w:fldChar w:fldCharType="end"/>
        </w:r>
      </w:hyperlink>
    </w:p>
    <w:p w14:paraId="6927E3C2" w14:textId="77777777" w:rsidR="00A61B23" w:rsidRPr="00C3679D" w:rsidRDefault="00E20226">
      <w:pPr>
        <w:pStyle w:val="TOC1"/>
        <w:tabs>
          <w:tab w:val="right" w:leader="dot" w:pos="9350"/>
        </w:tabs>
        <w:rPr>
          <w:rFonts w:ascii="Calibri" w:hAnsi="Calibri"/>
          <w:noProof/>
          <w:szCs w:val="22"/>
        </w:rPr>
      </w:pPr>
      <w:hyperlink w:anchor="_Toc457917523" w:history="1">
        <w:r w:rsidR="00A61B23" w:rsidRPr="00B404A7">
          <w:rPr>
            <w:rStyle w:val="Hyperlink"/>
            <w:bCs/>
            <w:noProof/>
          </w:rPr>
          <w:t>Violations</w:t>
        </w:r>
        <w:r w:rsidR="00A61B23">
          <w:rPr>
            <w:noProof/>
            <w:webHidden/>
          </w:rPr>
          <w:tab/>
        </w:r>
        <w:r w:rsidR="00A61B23">
          <w:rPr>
            <w:noProof/>
            <w:webHidden/>
          </w:rPr>
          <w:fldChar w:fldCharType="begin"/>
        </w:r>
        <w:r w:rsidR="00A61B23">
          <w:rPr>
            <w:noProof/>
            <w:webHidden/>
          </w:rPr>
          <w:instrText xml:space="preserve"> PAGEREF _Toc457917523 \h </w:instrText>
        </w:r>
        <w:r w:rsidR="00A61B23">
          <w:rPr>
            <w:noProof/>
            <w:webHidden/>
          </w:rPr>
        </w:r>
        <w:r w:rsidR="00A61B23">
          <w:rPr>
            <w:noProof/>
            <w:webHidden/>
          </w:rPr>
          <w:fldChar w:fldCharType="separate"/>
        </w:r>
        <w:r w:rsidR="00A61B23">
          <w:rPr>
            <w:noProof/>
            <w:webHidden/>
          </w:rPr>
          <w:t>5</w:t>
        </w:r>
        <w:r w:rsidR="00A61B23">
          <w:rPr>
            <w:noProof/>
            <w:webHidden/>
          </w:rPr>
          <w:fldChar w:fldCharType="end"/>
        </w:r>
      </w:hyperlink>
    </w:p>
    <w:p w14:paraId="3A597633" w14:textId="77777777" w:rsidR="00A61B23" w:rsidRPr="00C3679D" w:rsidRDefault="00E20226">
      <w:pPr>
        <w:pStyle w:val="TOC1"/>
        <w:tabs>
          <w:tab w:val="right" w:leader="dot" w:pos="9350"/>
        </w:tabs>
        <w:rPr>
          <w:rFonts w:ascii="Calibri" w:hAnsi="Calibri"/>
          <w:noProof/>
          <w:szCs w:val="22"/>
        </w:rPr>
      </w:pPr>
      <w:hyperlink w:anchor="_Toc457917524" w:history="1">
        <w:r w:rsidR="00A61B23" w:rsidRPr="00B404A7">
          <w:rPr>
            <w:rStyle w:val="Hyperlink"/>
            <w:bCs/>
            <w:noProof/>
          </w:rPr>
          <w:t>Definitions</w:t>
        </w:r>
        <w:r w:rsidR="00A61B23">
          <w:rPr>
            <w:noProof/>
            <w:webHidden/>
          </w:rPr>
          <w:tab/>
        </w:r>
        <w:r w:rsidR="00A61B23">
          <w:rPr>
            <w:noProof/>
            <w:webHidden/>
          </w:rPr>
          <w:fldChar w:fldCharType="begin"/>
        </w:r>
        <w:r w:rsidR="00A61B23">
          <w:rPr>
            <w:noProof/>
            <w:webHidden/>
          </w:rPr>
          <w:instrText xml:space="preserve"> PAGEREF _Toc457917524 \h </w:instrText>
        </w:r>
        <w:r w:rsidR="00A61B23">
          <w:rPr>
            <w:noProof/>
            <w:webHidden/>
          </w:rPr>
        </w:r>
        <w:r w:rsidR="00A61B23">
          <w:rPr>
            <w:noProof/>
            <w:webHidden/>
          </w:rPr>
          <w:fldChar w:fldCharType="separate"/>
        </w:r>
        <w:r w:rsidR="00A61B23">
          <w:rPr>
            <w:noProof/>
            <w:webHidden/>
          </w:rPr>
          <w:t>5</w:t>
        </w:r>
        <w:r w:rsidR="00A61B23">
          <w:rPr>
            <w:noProof/>
            <w:webHidden/>
          </w:rPr>
          <w:fldChar w:fldCharType="end"/>
        </w:r>
      </w:hyperlink>
    </w:p>
    <w:p w14:paraId="15184B83" w14:textId="77777777" w:rsidR="00A61B23" w:rsidRPr="00C3679D" w:rsidRDefault="00E20226">
      <w:pPr>
        <w:pStyle w:val="TOC1"/>
        <w:tabs>
          <w:tab w:val="right" w:leader="dot" w:pos="9350"/>
        </w:tabs>
        <w:rPr>
          <w:rFonts w:ascii="Calibri" w:hAnsi="Calibri"/>
          <w:noProof/>
          <w:szCs w:val="22"/>
        </w:rPr>
      </w:pPr>
      <w:hyperlink w:anchor="_Toc457917525" w:history="1">
        <w:r w:rsidR="00A61B23" w:rsidRPr="00B404A7">
          <w:rPr>
            <w:rStyle w:val="Hyperlink"/>
            <w:noProof/>
          </w:rPr>
          <w:t>References</w:t>
        </w:r>
        <w:r w:rsidR="00A61B23">
          <w:rPr>
            <w:noProof/>
            <w:webHidden/>
          </w:rPr>
          <w:tab/>
        </w:r>
        <w:r w:rsidR="00A61B23">
          <w:rPr>
            <w:noProof/>
            <w:webHidden/>
          </w:rPr>
          <w:fldChar w:fldCharType="begin"/>
        </w:r>
        <w:r w:rsidR="00A61B23">
          <w:rPr>
            <w:noProof/>
            <w:webHidden/>
          </w:rPr>
          <w:instrText xml:space="preserve"> PAGEREF _Toc457917525 \h </w:instrText>
        </w:r>
        <w:r w:rsidR="00A61B23">
          <w:rPr>
            <w:noProof/>
            <w:webHidden/>
          </w:rPr>
        </w:r>
        <w:r w:rsidR="00A61B23">
          <w:rPr>
            <w:noProof/>
            <w:webHidden/>
          </w:rPr>
          <w:fldChar w:fldCharType="separate"/>
        </w:r>
        <w:r w:rsidR="00A61B23">
          <w:rPr>
            <w:noProof/>
            <w:webHidden/>
          </w:rPr>
          <w:t>5</w:t>
        </w:r>
        <w:r w:rsidR="00A61B23">
          <w:rPr>
            <w:noProof/>
            <w:webHidden/>
          </w:rPr>
          <w:fldChar w:fldCharType="end"/>
        </w:r>
      </w:hyperlink>
    </w:p>
    <w:p w14:paraId="601590EB" w14:textId="77777777" w:rsidR="00A61B23" w:rsidRPr="00C3679D" w:rsidRDefault="00E20226">
      <w:pPr>
        <w:pStyle w:val="TOC1"/>
        <w:tabs>
          <w:tab w:val="right" w:leader="dot" w:pos="9350"/>
        </w:tabs>
        <w:rPr>
          <w:rFonts w:ascii="Calibri" w:hAnsi="Calibri"/>
          <w:noProof/>
          <w:szCs w:val="22"/>
        </w:rPr>
      </w:pPr>
      <w:hyperlink w:anchor="_Toc457917526" w:history="1">
        <w:r w:rsidR="00A61B23" w:rsidRPr="00B404A7">
          <w:rPr>
            <w:rStyle w:val="Hyperlink"/>
            <w:noProof/>
          </w:rPr>
          <w:t>Related Documents</w:t>
        </w:r>
        <w:r w:rsidR="00A61B23">
          <w:rPr>
            <w:noProof/>
            <w:webHidden/>
          </w:rPr>
          <w:tab/>
        </w:r>
        <w:r w:rsidR="00A61B23">
          <w:rPr>
            <w:noProof/>
            <w:webHidden/>
          </w:rPr>
          <w:fldChar w:fldCharType="begin"/>
        </w:r>
        <w:r w:rsidR="00A61B23">
          <w:rPr>
            <w:noProof/>
            <w:webHidden/>
          </w:rPr>
          <w:instrText xml:space="preserve"> PAGEREF _Toc457917526 \h </w:instrText>
        </w:r>
        <w:r w:rsidR="00A61B23">
          <w:rPr>
            <w:noProof/>
            <w:webHidden/>
          </w:rPr>
        </w:r>
        <w:r w:rsidR="00A61B23">
          <w:rPr>
            <w:noProof/>
            <w:webHidden/>
          </w:rPr>
          <w:fldChar w:fldCharType="separate"/>
        </w:r>
        <w:r w:rsidR="00A61B23">
          <w:rPr>
            <w:noProof/>
            <w:webHidden/>
          </w:rPr>
          <w:t>5</w:t>
        </w:r>
        <w:r w:rsidR="00A61B23">
          <w:rPr>
            <w:noProof/>
            <w:webHidden/>
          </w:rPr>
          <w:fldChar w:fldCharType="end"/>
        </w:r>
      </w:hyperlink>
    </w:p>
    <w:p w14:paraId="36656748" w14:textId="77777777" w:rsidR="00A61B23" w:rsidRPr="00C3679D" w:rsidRDefault="00E20226">
      <w:pPr>
        <w:pStyle w:val="TOC1"/>
        <w:tabs>
          <w:tab w:val="right" w:leader="dot" w:pos="9350"/>
        </w:tabs>
        <w:rPr>
          <w:rFonts w:ascii="Calibri" w:hAnsi="Calibri"/>
          <w:noProof/>
          <w:szCs w:val="22"/>
        </w:rPr>
      </w:pPr>
      <w:hyperlink w:anchor="_Toc457917527" w:history="1">
        <w:r w:rsidR="00A61B23" w:rsidRPr="00B404A7">
          <w:rPr>
            <w:rStyle w:val="Hyperlink"/>
            <w:bCs/>
            <w:noProof/>
          </w:rPr>
          <w:t>Approval and Ownership</w:t>
        </w:r>
        <w:r w:rsidR="00A61B23">
          <w:rPr>
            <w:noProof/>
            <w:webHidden/>
          </w:rPr>
          <w:tab/>
        </w:r>
        <w:r w:rsidR="00A61B23">
          <w:rPr>
            <w:noProof/>
            <w:webHidden/>
          </w:rPr>
          <w:fldChar w:fldCharType="begin"/>
        </w:r>
        <w:r w:rsidR="00A61B23">
          <w:rPr>
            <w:noProof/>
            <w:webHidden/>
          </w:rPr>
          <w:instrText xml:space="preserve"> PAGEREF _Toc457917527 \h </w:instrText>
        </w:r>
        <w:r w:rsidR="00A61B23">
          <w:rPr>
            <w:noProof/>
            <w:webHidden/>
          </w:rPr>
        </w:r>
        <w:r w:rsidR="00A61B23">
          <w:rPr>
            <w:noProof/>
            <w:webHidden/>
          </w:rPr>
          <w:fldChar w:fldCharType="separate"/>
        </w:r>
        <w:r w:rsidR="00A61B23">
          <w:rPr>
            <w:noProof/>
            <w:webHidden/>
          </w:rPr>
          <w:t>6</w:t>
        </w:r>
        <w:r w:rsidR="00A61B23">
          <w:rPr>
            <w:noProof/>
            <w:webHidden/>
          </w:rPr>
          <w:fldChar w:fldCharType="end"/>
        </w:r>
      </w:hyperlink>
    </w:p>
    <w:p w14:paraId="6B37FBD0" w14:textId="77777777" w:rsidR="00A61B23" w:rsidRPr="00C3679D" w:rsidRDefault="00E20226">
      <w:pPr>
        <w:pStyle w:val="TOC1"/>
        <w:tabs>
          <w:tab w:val="right" w:leader="dot" w:pos="9350"/>
        </w:tabs>
        <w:rPr>
          <w:rFonts w:ascii="Calibri" w:hAnsi="Calibri"/>
          <w:noProof/>
          <w:szCs w:val="22"/>
        </w:rPr>
      </w:pPr>
      <w:hyperlink w:anchor="_Toc457917528" w:history="1">
        <w:r w:rsidR="00A61B23" w:rsidRPr="00B404A7">
          <w:rPr>
            <w:rStyle w:val="Hyperlink"/>
            <w:bCs/>
            <w:noProof/>
          </w:rPr>
          <w:t>Revision History</w:t>
        </w:r>
        <w:r w:rsidR="00A61B23">
          <w:rPr>
            <w:noProof/>
            <w:webHidden/>
          </w:rPr>
          <w:tab/>
        </w:r>
        <w:r w:rsidR="00A61B23">
          <w:rPr>
            <w:noProof/>
            <w:webHidden/>
          </w:rPr>
          <w:fldChar w:fldCharType="begin"/>
        </w:r>
        <w:r w:rsidR="00A61B23">
          <w:rPr>
            <w:noProof/>
            <w:webHidden/>
          </w:rPr>
          <w:instrText xml:space="preserve"> PAGEREF _Toc457917528 \h </w:instrText>
        </w:r>
        <w:r w:rsidR="00A61B23">
          <w:rPr>
            <w:noProof/>
            <w:webHidden/>
          </w:rPr>
        </w:r>
        <w:r w:rsidR="00A61B23">
          <w:rPr>
            <w:noProof/>
            <w:webHidden/>
          </w:rPr>
          <w:fldChar w:fldCharType="separate"/>
        </w:r>
        <w:r w:rsidR="00A61B23">
          <w:rPr>
            <w:noProof/>
            <w:webHidden/>
          </w:rPr>
          <w:t>6</w:t>
        </w:r>
        <w:r w:rsidR="00A61B23">
          <w:rPr>
            <w:noProof/>
            <w:webHidden/>
          </w:rPr>
          <w:fldChar w:fldCharType="end"/>
        </w:r>
      </w:hyperlink>
    </w:p>
    <w:p w14:paraId="5DC43F6A" w14:textId="77777777" w:rsidR="0085160B" w:rsidRDefault="00806E88" w:rsidP="008E325A">
      <w:pPr>
        <w:pStyle w:val="TOC1"/>
        <w:tabs>
          <w:tab w:val="right" w:leader="dot" w:pos="9350"/>
        </w:tabs>
      </w:pPr>
      <w:r>
        <w:fldChar w:fldCharType="end"/>
      </w:r>
    </w:p>
    <w:p w14:paraId="4CC1B23A" w14:textId="77777777" w:rsidR="00D13DA3" w:rsidRPr="003F09FA" w:rsidRDefault="00A437C9" w:rsidP="003F09FA">
      <w:pPr>
        <w:pStyle w:val="PolicyElementHeader"/>
        <w:rPr>
          <w:bCs/>
          <w:color w:val="00527A"/>
        </w:rPr>
      </w:pPr>
      <w:bookmarkStart w:id="1" w:name="_Toc241985851"/>
      <w:bookmarkStart w:id="2" w:name="_Toc457917511"/>
      <w:r w:rsidRPr="003F09FA">
        <w:rPr>
          <w:bCs/>
          <w:color w:val="00527A"/>
        </w:rPr>
        <w:t>Purpose</w:t>
      </w:r>
      <w:bookmarkEnd w:id="1"/>
      <w:bookmarkEnd w:id="2"/>
    </w:p>
    <w:p w14:paraId="3DDF4A6A" w14:textId="77777777" w:rsidR="009938EB" w:rsidRDefault="00DF66EE" w:rsidP="0003608C">
      <w:r w:rsidRPr="005A4B62">
        <w:t xml:space="preserve">This policy defines </w:t>
      </w:r>
      <w:r>
        <w:t xml:space="preserve">the </w:t>
      </w:r>
      <w:r w:rsidR="009938EB">
        <w:t xml:space="preserve">acceptable use of all Company X computer and communication system assets. </w:t>
      </w:r>
    </w:p>
    <w:p w14:paraId="3A369B33" w14:textId="77777777" w:rsidR="00A437C9" w:rsidRPr="003F09FA" w:rsidRDefault="00A437C9" w:rsidP="003F09FA">
      <w:pPr>
        <w:pStyle w:val="PolicyElementHeader"/>
        <w:rPr>
          <w:bCs/>
          <w:color w:val="00527A"/>
        </w:rPr>
      </w:pPr>
      <w:bookmarkStart w:id="3" w:name="_Toc241985852"/>
      <w:bookmarkStart w:id="4" w:name="_Toc457917512"/>
      <w:r w:rsidRPr="003F09FA">
        <w:rPr>
          <w:bCs/>
          <w:color w:val="00527A"/>
        </w:rPr>
        <w:t>Scope</w:t>
      </w:r>
      <w:bookmarkEnd w:id="3"/>
      <w:bookmarkEnd w:id="4"/>
    </w:p>
    <w:p w14:paraId="5BECD36F" w14:textId="77777777" w:rsidR="00A437C9" w:rsidRPr="00CD236D" w:rsidRDefault="003D14BE">
      <w:pPr>
        <w:rPr>
          <w:szCs w:val="22"/>
        </w:rPr>
      </w:pPr>
      <w:r w:rsidRPr="003D14BE">
        <w:rPr>
          <w:szCs w:val="22"/>
        </w:rPr>
        <w:t>This policy applies to all</w:t>
      </w:r>
      <w:r w:rsidR="00DF66EE">
        <w:rPr>
          <w:szCs w:val="22"/>
        </w:rPr>
        <w:t xml:space="preserve"> employees and third-parties with access to </w:t>
      </w:r>
      <w:r w:rsidR="001E1517">
        <w:rPr>
          <w:szCs w:val="22"/>
        </w:rPr>
        <w:t>Company X</w:t>
      </w:r>
      <w:r w:rsidRPr="003D14BE">
        <w:rPr>
          <w:szCs w:val="22"/>
        </w:rPr>
        <w:t xml:space="preserve"> electronic information resources.</w:t>
      </w:r>
      <w:r w:rsidR="00E81331" w:rsidRPr="00CD236D">
        <w:rPr>
          <w:szCs w:val="22"/>
        </w:rPr>
        <w:t xml:space="preserve"> </w:t>
      </w:r>
    </w:p>
    <w:p w14:paraId="27783659" w14:textId="77777777" w:rsidR="00A437C9" w:rsidRPr="003F09FA" w:rsidRDefault="00A437C9" w:rsidP="003F09FA">
      <w:pPr>
        <w:pStyle w:val="PolicyElementHeader"/>
        <w:rPr>
          <w:bCs/>
          <w:color w:val="00527A"/>
        </w:rPr>
      </w:pPr>
      <w:bookmarkStart w:id="5" w:name="_Toc241985853"/>
      <w:bookmarkStart w:id="6" w:name="_Toc457917513"/>
      <w:r w:rsidRPr="003F09FA">
        <w:rPr>
          <w:bCs/>
          <w:color w:val="00527A"/>
        </w:rPr>
        <w:t>Policy</w:t>
      </w:r>
      <w:bookmarkEnd w:id="5"/>
      <w:bookmarkEnd w:id="6"/>
    </w:p>
    <w:p w14:paraId="49C9B2D2" w14:textId="77777777" w:rsidR="00A61B23" w:rsidRDefault="00A61B23" w:rsidP="00A61B23">
      <w:pPr>
        <w:pStyle w:val="Heading3"/>
      </w:pPr>
      <w:bookmarkStart w:id="7" w:name="_Toc390422716"/>
      <w:bookmarkStart w:id="8" w:name="_Toc442133710"/>
      <w:bookmarkStart w:id="9" w:name="_Toc457917514"/>
      <w:bookmarkStart w:id="10" w:name="_Toc241985854"/>
      <w:r>
        <w:t>System Usage</w:t>
      </w:r>
      <w:bookmarkEnd w:id="7"/>
      <w:bookmarkEnd w:id="8"/>
      <w:bookmarkEnd w:id="9"/>
    </w:p>
    <w:p w14:paraId="59DE0EDC" w14:textId="77777777" w:rsidR="00A61B23" w:rsidRDefault="00A61B23" w:rsidP="00A61B23">
      <w:pPr>
        <w:spacing w:after="120"/>
        <w:ind w:left="360"/>
      </w:pPr>
      <w:r w:rsidRPr="000A6314">
        <w:rPr>
          <w:rStyle w:val="Strong"/>
        </w:rPr>
        <w:t>Reasonable Personal Use Of Systems</w:t>
      </w:r>
      <w:r>
        <w:t xml:space="preserve"> - Company X allows computer users to make reasonable personal use of its electronic mail and other computer and communications systems. All such personal use must be consistent with conventional standards of ethical and polite conduct. </w:t>
      </w:r>
    </w:p>
    <w:p w14:paraId="36ECEF54" w14:textId="77777777" w:rsidR="00A61B23" w:rsidRDefault="00A61B23" w:rsidP="00A61B23">
      <w:pPr>
        <w:spacing w:after="120"/>
        <w:ind w:left="360"/>
      </w:pPr>
      <w:r>
        <w:rPr>
          <w:rStyle w:val="Strong"/>
        </w:rPr>
        <w:t xml:space="preserve">Use at your own Risk - </w:t>
      </w:r>
      <w:r w:rsidRPr="009B00B5">
        <w:t xml:space="preserve">Workers access the Internet with </w:t>
      </w:r>
      <w:r>
        <w:t>Company X</w:t>
      </w:r>
      <w:r w:rsidRPr="009B00B5">
        <w:t xml:space="preserve"> facilities at their own risk. </w:t>
      </w:r>
      <w:r>
        <w:t>Company X</w:t>
      </w:r>
      <w:r w:rsidRPr="009B00B5">
        <w:t xml:space="preserve"> is not responsible for material viewed, downloaded, or received by users through the Internet. Electronic mail systems may deliver unsolicited messages that contain offensive content.</w:t>
      </w:r>
    </w:p>
    <w:p w14:paraId="3AA64873" w14:textId="77777777" w:rsidR="00A61B23" w:rsidRDefault="00A61B23" w:rsidP="00A61B23">
      <w:pPr>
        <w:spacing w:after="120"/>
        <w:ind w:left="360"/>
      </w:pPr>
      <w:r>
        <w:rPr>
          <w:rStyle w:val="Strong"/>
        </w:rPr>
        <w:lastRenderedPageBreak/>
        <w:t xml:space="preserve">Activity Monitoring </w:t>
      </w:r>
      <w:r>
        <w:t>– Users must be aware that their internet activity while using Company X systems is monitored and recorded.  This information may include web sites visited, files downloaded, time spent on the Internet, and related information.</w:t>
      </w:r>
    </w:p>
    <w:p w14:paraId="183642F0" w14:textId="77777777" w:rsidR="00A61B23" w:rsidRDefault="00A61B23" w:rsidP="00A61B23">
      <w:pPr>
        <w:spacing w:after="120"/>
        <w:ind w:left="360"/>
      </w:pPr>
      <w:r>
        <w:rPr>
          <w:rStyle w:val="Strong"/>
        </w:rPr>
        <w:t xml:space="preserve">No Guarantee of Message Privacy </w:t>
      </w:r>
      <w:r w:rsidRPr="009B00B5">
        <w:t xml:space="preserve">- </w:t>
      </w:r>
      <w:r>
        <w:t>Company X</w:t>
      </w:r>
      <w:r w:rsidRPr="009B00B5">
        <w:t xml:space="preserve"> cannot guarantee that electronic communications will be private. Workers must be aware that electronic communications can, depending on the technology, be forwarded, intercepted, printed, and stored by others. Workers must accordingly be careful about the topics covered in </w:t>
      </w:r>
      <w:r>
        <w:t>Company X electronic communications.</w:t>
      </w:r>
    </w:p>
    <w:p w14:paraId="74B2BEE3" w14:textId="77777777" w:rsidR="00A61B23" w:rsidRDefault="00A61B23" w:rsidP="00A61B23">
      <w:pPr>
        <w:pStyle w:val="PolicyBodyText"/>
      </w:pPr>
      <w:r w:rsidRPr="003275C3">
        <w:rPr>
          <w:b/>
        </w:rPr>
        <w:t>Unattended Active Sessions</w:t>
      </w:r>
      <w:r>
        <w:t xml:space="preserve"> - Users must not leave their personal computer, workstation, or terminal unattended without logging out or invoking a password-protected screen saver.</w:t>
      </w:r>
    </w:p>
    <w:p w14:paraId="0851F22B" w14:textId="77777777" w:rsidR="00A61B23" w:rsidRPr="00A36A2B" w:rsidRDefault="00A61B23" w:rsidP="00A61B23">
      <w:pPr>
        <w:pStyle w:val="Heading3"/>
        <w:rPr>
          <w:rStyle w:val="Strong"/>
          <w:b/>
          <w:bCs/>
        </w:rPr>
      </w:pPr>
      <w:bookmarkStart w:id="11" w:name="_Toc390422717"/>
      <w:bookmarkStart w:id="12" w:name="_Toc442133711"/>
      <w:bookmarkStart w:id="13" w:name="_Toc457917515"/>
      <w:r w:rsidRPr="00A36A2B">
        <w:rPr>
          <w:rStyle w:val="Strong"/>
          <w:b/>
          <w:bCs/>
        </w:rPr>
        <w:t>User IDs and Passwords</w:t>
      </w:r>
      <w:bookmarkEnd w:id="11"/>
      <w:bookmarkEnd w:id="12"/>
      <w:bookmarkEnd w:id="13"/>
    </w:p>
    <w:p w14:paraId="4AC41E15" w14:textId="77777777" w:rsidR="00A61B23" w:rsidRDefault="00A61B23" w:rsidP="00A61B23">
      <w:pPr>
        <w:spacing w:after="120"/>
        <w:ind w:left="360"/>
      </w:pPr>
      <w:r w:rsidRPr="00BA7551">
        <w:rPr>
          <w:rStyle w:val="Strong"/>
        </w:rPr>
        <w:t>Personal User IDs</w:t>
      </w:r>
      <w:r>
        <w:rPr>
          <w:rStyle w:val="Strong"/>
        </w:rPr>
        <w:t xml:space="preserve"> </w:t>
      </w:r>
      <w:r w:rsidRPr="00BA7551">
        <w:rPr>
          <w:rStyle w:val="Strong"/>
        </w:rPr>
        <w:t>Responsibility</w:t>
      </w:r>
      <w:r>
        <w:t xml:space="preserve"> - Users must be responsible for all activity performed with their personal user IDs. They must not permit others to perform any activity with their user IDs, and they must not perform any activity with IDs belonging to other users.</w:t>
      </w:r>
    </w:p>
    <w:p w14:paraId="60C2E9E3" w14:textId="77777777" w:rsidR="00A61B23" w:rsidRDefault="00A61B23" w:rsidP="00A61B23">
      <w:pPr>
        <w:spacing w:after="120"/>
        <w:ind w:left="360"/>
      </w:pPr>
      <w:r w:rsidRPr="00BA7551">
        <w:rPr>
          <w:rStyle w:val="Strong"/>
        </w:rPr>
        <w:t>Access Code Sharing</w:t>
      </w:r>
      <w:r>
        <w:rPr>
          <w:rStyle w:val="Strong"/>
        </w:rPr>
        <w:t xml:space="preserve"> Prohibited</w:t>
      </w:r>
      <w:r>
        <w:t xml:space="preserve"> - Company X computer accounts, user IDs, network passwords, voice mail box personal identification numbers, credit card numbers, and other access codes must not be used by anyone other than the person to whom they were originally issued.</w:t>
      </w:r>
    </w:p>
    <w:p w14:paraId="309396A3" w14:textId="77777777" w:rsidR="00A61B23" w:rsidRDefault="00A61B23" w:rsidP="00A61B23">
      <w:pPr>
        <w:spacing w:after="120"/>
        <w:ind w:left="360"/>
      </w:pPr>
      <w:r w:rsidRPr="00122F61">
        <w:rPr>
          <w:b/>
        </w:rPr>
        <w:t>Strong Passwords</w:t>
      </w:r>
      <w:r>
        <w:t xml:space="preserve"> – Users must choose passwords that are difficult to guess. For example, users must not choose a dictionary word, derivatives of user IDs, common character sequences, details of their personal history, a common name, or a word that reflects work activities.</w:t>
      </w:r>
    </w:p>
    <w:p w14:paraId="2906B7A5" w14:textId="77777777" w:rsidR="00A61B23" w:rsidRDefault="00A61B23" w:rsidP="00A61B23">
      <w:pPr>
        <w:spacing w:after="120"/>
        <w:ind w:left="360"/>
      </w:pPr>
      <w:r w:rsidRPr="00BA7551">
        <w:rPr>
          <w:rStyle w:val="Strong"/>
        </w:rPr>
        <w:t>Typing Passwords When Others Are Watching</w:t>
      </w:r>
      <w:r>
        <w:t xml:space="preserve"> - Users must never type their passwords at a keyboard or a telephone keypad if others are known to be watching their actions. To do so unduly exposes the information accessed thereby to unauthorized access.</w:t>
      </w:r>
    </w:p>
    <w:p w14:paraId="01BFF2E9" w14:textId="77777777" w:rsidR="00A61B23" w:rsidRDefault="00A61B23" w:rsidP="00A61B23">
      <w:pPr>
        <w:spacing w:after="120"/>
        <w:ind w:left="360"/>
      </w:pPr>
      <w:r w:rsidRPr="00BA7551">
        <w:rPr>
          <w:rStyle w:val="Strong"/>
        </w:rPr>
        <w:t>Password Proximity To Access Devices</w:t>
      </w:r>
      <w:r>
        <w:t xml:space="preserve"> - Users must never write down or otherwise record a readable password and store it near the access device to which it pertains.</w:t>
      </w:r>
    </w:p>
    <w:p w14:paraId="3BD69070" w14:textId="77777777" w:rsidR="00177D9C" w:rsidRDefault="00177D9C" w:rsidP="00177D9C">
      <w:pPr>
        <w:spacing w:after="120"/>
        <w:ind w:left="360"/>
      </w:pPr>
      <w:r w:rsidRPr="00BA7551">
        <w:rPr>
          <w:rStyle w:val="Strong"/>
        </w:rPr>
        <w:t>Passwords In Communications Software</w:t>
      </w:r>
      <w:r>
        <w:t xml:space="preserve"> - Users must not store fixed passwords in remote access communications programs, Internet browsers, or related data communications software at any time.</w:t>
      </w:r>
    </w:p>
    <w:p w14:paraId="316FF095" w14:textId="77777777" w:rsidR="00A61B23" w:rsidRDefault="00A61B23" w:rsidP="00A61B23">
      <w:pPr>
        <w:pStyle w:val="Heading3"/>
      </w:pPr>
      <w:bookmarkStart w:id="14" w:name="_Toc390422718"/>
      <w:bookmarkStart w:id="15" w:name="_Toc442133712"/>
      <w:bookmarkStart w:id="16" w:name="_Toc457917516"/>
      <w:r>
        <w:t>Electronic Messaging</w:t>
      </w:r>
      <w:bookmarkEnd w:id="14"/>
      <w:bookmarkEnd w:id="15"/>
      <w:bookmarkEnd w:id="16"/>
    </w:p>
    <w:p w14:paraId="2E6D5115" w14:textId="77777777" w:rsidR="00A61B23" w:rsidRDefault="00A61B23" w:rsidP="00A61B23">
      <w:pPr>
        <w:spacing w:after="120"/>
        <w:ind w:left="360"/>
      </w:pPr>
      <w:r w:rsidRPr="000A6314">
        <w:rPr>
          <w:rStyle w:val="Strong"/>
        </w:rPr>
        <w:t>Identity Misrepresentation</w:t>
      </w:r>
      <w:r>
        <w:t xml:space="preserve"> - Workers must not misrepresent, obscure, suppress, or replace their own or another person's identity on any Company X electronic communications.</w:t>
      </w:r>
    </w:p>
    <w:p w14:paraId="32CC5B03" w14:textId="77777777" w:rsidR="00A61B23" w:rsidRDefault="00A61B23" w:rsidP="00A61B23">
      <w:pPr>
        <w:spacing w:after="120"/>
        <w:ind w:left="360"/>
      </w:pPr>
      <w:r>
        <w:rPr>
          <w:rStyle w:val="Strong"/>
        </w:rPr>
        <w:t xml:space="preserve">Web Based Mail Systems </w:t>
      </w:r>
      <w:r w:rsidRPr="00812447">
        <w:t>-</w:t>
      </w:r>
      <w:r>
        <w:t xml:space="preserve"> Company X users are prohibited from using any electronic mail system besides that provided by the Information Technology Department.  This includes all web-based email systems.</w:t>
      </w:r>
    </w:p>
    <w:p w14:paraId="64CC4766" w14:textId="77777777" w:rsidR="00A61B23" w:rsidRDefault="00A61B23" w:rsidP="00A61B23">
      <w:pPr>
        <w:spacing w:after="120"/>
        <w:ind w:left="360"/>
      </w:pPr>
      <w:r>
        <w:rPr>
          <w:rStyle w:val="Strong"/>
        </w:rPr>
        <w:t xml:space="preserve">Handling Attachments </w:t>
      </w:r>
      <w:r w:rsidRPr="007A1235">
        <w:t>-</w:t>
      </w:r>
      <w:r>
        <w:t xml:space="preserve"> All electronic mail</w:t>
      </w:r>
      <w:r w:rsidRPr="007A1235">
        <w:t xml:space="preserve"> attachment files </w:t>
      </w:r>
      <w:r>
        <w:t xml:space="preserve">from third parties </w:t>
      </w:r>
      <w:r w:rsidRPr="007A1235">
        <w:t xml:space="preserve">must be scanned with an authorized virus detection software package before opening or execution. </w:t>
      </w:r>
    </w:p>
    <w:p w14:paraId="0BDBEE92" w14:textId="77777777" w:rsidR="00A61B23" w:rsidRPr="00D16EE1" w:rsidRDefault="00A61B23" w:rsidP="00A61B23">
      <w:pPr>
        <w:spacing w:after="120"/>
        <w:ind w:left="360"/>
      </w:pPr>
      <w:r>
        <w:rPr>
          <w:rStyle w:val="Strong"/>
        </w:rPr>
        <w:t xml:space="preserve">Responding to Personal Information Requests </w:t>
      </w:r>
      <w:r w:rsidRPr="00D16EE1">
        <w:t xml:space="preserve">– </w:t>
      </w:r>
      <w:r>
        <w:t>Company X</w:t>
      </w:r>
      <w:r w:rsidRPr="00D16EE1">
        <w:t xml:space="preserve"> workers must never respond to electronic mail messages that request personal or sensitive company information, even from internal sources.  The </w:t>
      </w:r>
      <w:r>
        <w:t>Company X</w:t>
      </w:r>
      <w:r w:rsidRPr="00D16EE1">
        <w:t xml:space="preserve"> Information Systems (IS) department will never request that you perform security duties, such as changing your </w:t>
      </w:r>
      <w:r w:rsidRPr="00D16EE1">
        <w:lastRenderedPageBreak/>
        <w:t>password, via electronic mail.  Any such requests will be confirmed with separate communication from management.</w:t>
      </w:r>
    </w:p>
    <w:p w14:paraId="0F5C1AB4" w14:textId="495CE319" w:rsidR="00A61B23" w:rsidRDefault="00A61B23" w:rsidP="00A61B23">
      <w:pPr>
        <w:spacing w:after="120"/>
        <w:ind w:left="360"/>
      </w:pPr>
      <w:r>
        <w:rPr>
          <w:rStyle w:val="Strong"/>
        </w:rPr>
        <w:t xml:space="preserve">Harassing Of Offensive Materials </w:t>
      </w:r>
      <w:r w:rsidRPr="007A1235">
        <w:t xml:space="preserve">- </w:t>
      </w:r>
      <w:r>
        <w:t>Company X</w:t>
      </w:r>
      <w:r w:rsidRPr="007A1235">
        <w:t xml:space="preserve"> computer and communications systems are not intended to be used for</w:t>
      </w:r>
      <w:r w:rsidR="00941F95">
        <w:t xml:space="preserve"> personal </w:t>
      </w:r>
      <w:r w:rsidR="00C54544">
        <w:t>use</w:t>
      </w:r>
      <w:r w:rsidR="00C54544" w:rsidRPr="007A1235">
        <w:t xml:space="preserve"> and</w:t>
      </w:r>
      <w:r w:rsidRPr="007A1235">
        <w:t xml:space="preserve"> must not be used for the exercise of the workers’ right to free speech. These systems must not be used as an open forum to discuss </w:t>
      </w:r>
      <w:r>
        <w:t>Company X</w:t>
      </w:r>
      <w:r w:rsidRPr="007A1235">
        <w:t xml:space="preserve"> organizational changes or business policy matters. Sexual, ethnic, and racial harassment, including unwanted telephone calls, electronic mail, and internal mail, is strictly prohibited</w:t>
      </w:r>
      <w:r>
        <w:t xml:space="preserve">.  </w:t>
      </w:r>
      <w:r w:rsidRPr="00122F61">
        <w:t xml:space="preserve">Workers must not use profanity, obscenities, or derogatory remarks in electronic mail messages discussing employees, customers, competitors, or others. </w:t>
      </w:r>
    </w:p>
    <w:p w14:paraId="5B791FB0" w14:textId="77777777" w:rsidR="00A61B23" w:rsidRPr="00A36A2B" w:rsidRDefault="00A61B23" w:rsidP="00A61B23">
      <w:pPr>
        <w:pStyle w:val="Heading3"/>
      </w:pPr>
      <w:bookmarkStart w:id="17" w:name="_Toc390422719"/>
      <w:bookmarkStart w:id="18" w:name="_Toc442133713"/>
      <w:bookmarkStart w:id="19" w:name="_Toc457917517"/>
      <w:r w:rsidRPr="00A36A2B">
        <w:rPr>
          <w:rStyle w:val="Strong"/>
          <w:b/>
          <w:bCs/>
        </w:rPr>
        <w:t>Internet and Web Usage</w:t>
      </w:r>
      <w:bookmarkEnd w:id="17"/>
      <w:bookmarkEnd w:id="18"/>
      <w:bookmarkEnd w:id="19"/>
    </w:p>
    <w:p w14:paraId="50C19AE6" w14:textId="77777777" w:rsidR="00A61B23" w:rsidRDefault="00A61B23" w:rsidP="00A61B23">
      <w:pPr>
        <w:spacing w:after="120"/>
        <w:ind w:left="360"/>
      </w:pPr>
      <w:r>
        <w:rPr>
          <w:rStyle w:val="Strong"/>
        </w:rPr>
        <w:t xml:space="preserve">Disclosing Internal Information - </w:t>
      </w:r>
      <w:r w:rsidRPr="00880476">
        <w:t xml:space="preserve">Workers must not publicly disclose internal </w:t>
      </w:r>
      <w:r>
        <w:t>Company X</w:t>
      </w:r>
      <w:r w:rsidRPr="00880476">
        <w:t xml:space="preserve"> </w:t>
      </w:r>
      <w:r>
        <w:t>by posting to any web site, including blogs, newsgroups, chat groups or social networking sites</w:t>
      </w:r>
      <w:r w:rsidRPr="00880476">
        <w:t xml:space="preserve">. </w:t>
      </w:r>
    </w:p>
    <w:p w14:paraId="2E603BFA" w14:textId="77777777" w:rsidR="00A61B23" w:rsidRDefault="00A61B23" w:rsidP="00A61B23">
      <w:pPr>
        <w:spacing w:after="120"/>
        <w:ind w:left="360"/>
      </w:pPr>
      <w:r>
        <w:rPr>
          <w:rStyle w:val="Strong"/>
        </w:rPr>
        <w:t xml:space="preserve">Offensive Web Sites </w:t>
      </w:r>
      <w:r w:rsidRPr="00824AEF">
        <w:t xml:space="preserve">- </w:t>
      </w:r>
      <w:r>
        <w:t>Company X</w:t>
      </w:r>
      <w:r w:rsidRPr="00824AEF">
        <w:t xml:space="preserve"> is not responsible for the content that workers may encounter when they use the Internet. When and if users make a connection with web sites containing objectionable content, they must promptly move to another site or terminate their session. Workers using </w:t>
      </w:r>
      <w:r>
        <w:t>Company X</w:t>
      </w:r>
      <w:r w:rsidRPr="00824AEF">
        <w:t xml:space="preserve"> computers who discover they have connected with a web site that contains sexually explicit, racist, sexist, violent, or other potentially offensive material must immediately disconnect from that site.</w:t>
      </w:r>
    </w:p>
    <w:p w14:paraId="3CE9B82B" w14:textId="77777777" w:rsidR="00A61B23" w:rsidRDefault="00A61B23" w:rsidP="00A61B23">
      <w:pPr>
        <w:spacing w:after="120"/>
        <w:ind w:left="360"/>
      </w:pPr>
      <w:r>
        <w:rPr>
          <w:rStyle w:val="Strong"/>
        </w:rPr>
        <w:t>Blocking Sites and</w:t>
      </w:r>
      <w:r w:rsidRPr="002369A1">
        <w:rPr>
          <w:rStyle w:val="Strong"/>
        </w:rPr>
        <w:t xml:space="preserve"> </w:t>
      </w:r>
      <w:r w:rsidRPr="002369A1">
        <w:rPr>
          <w:b/>
        </w:rPr>
        <w:t>Content Types</w:t>
      </w:r>
      <w:r w:rsidRPr="002369A1">
        <w:t xml:space="preserve"> </w:t>
      </w:r>
      <w:r w:rsidRPr="00824AEF">
        <w:t xml:space="preserve">- The ability to connect with a specific web site does not in itself imply that users of </w:t>
      </w:r>
      <w:r>
        <w:t>Company X</w:t>
      </w:r>
      <w:r w:rsidRPr="00824AEF">
        <w:t xml:space="preserve"> systems are permitted to visit that site. </w:t>
      </w:r>
      <w:r>
        <w:t>Company X</w:t>
      </w:r>
      <w:r w:rsidRPr="00824AEF">
        <w:t xml:space="preserve"> may, at its discretion, restrict or block the downloading of certain file types that are likely to cause network service degradation. These file types include graphic and music files.</w:t>
      </w:r>
    </w:p>
    <w:p w14:paraId="6D4B14FF" w14:textId="77777777" w:rsidR="00A61B23" w:rsidRDefault="00A61B23" w:rsidP="00A61B23">
      <w:pPr>
        <w:spacing w:after="120"/>
        <w:ind w:left="360"/>
      </w:pPr>
      <w:r>
        <w:rPr>
          <w:rStyle w:val="Strong"/>
        </w:rPr>
        <w:t xml:space="preserve">Social Networking Sites </w:t>
      </w:r>
      <w:r w:rsidRPr="0099471B">
        <w:t xml:space="preserve">– Users are prohibited from accessing web sites designed for the sole purpose of posting and sharing personal information.  Exceptions require the approval of the </w:t>
      </w:r>
      <w:r>
        <w:t>Information Technology</w:t>
      </w:r>
      <w:r w:rsidRPr="0099471B">
        <w:t xml:space="preserve"> Department and must be for documented business purposes</w:t>
      </w:r>
      <w:r>
        <w:t>.</w:t>
      </w:r>
      <w:r w:rsidRPr="0099471B">
        <w:t xml:space="preserve"> Workers are also prohibited from discussing specific </w:t>
      </w:r>
      <w:r>
        <w:t>Company X</w:t>
      </w:r>
      <w:r w:rsidRPr="0099471B">
        <w:t xml:space="preserve"> business within any personal home pages t</w:t>
      </w:r>
      <w:r>
        <w:t>hey may have established on these</w:t>
      </w:r>
      <w:r w:rsidRPr="0099471B">
        <w:t xml:space="preserve"> sites outside of </w:t>
      </w:r>
      <w:r>
        <w:t>Company X</w:t>
      </w:r>
      <w:r w:rsidRPr="0099471B">
        <w:t xml:space="preserve"> business hours.</w:t>
      </w:r>
    </w:p>
    <w:p w14:paraId="7471707F" w14:textId="77777777" w:rsidR="00A61B23" w:rsidRDefault="00A61B23" w:rsidP="00A61B23">
      <w:pPr>
        <w:spacing w:after="120"/>
        <w:ind w:left="360"/>
      </w:pPr>
      <w:r>
        <w:rPr>
          <w:rStyle w:val="Strong"/>
        </w:rPr>
        <w:t xml:space="preserve">Instant Messaging </w:t>
      </w:r>
      <w:r w:rsidRPr="00555F6C">
        <w:t>-</w:t>
      </w:r>
      <w:r>
        <w:t xml:space="preserve"> Company X </w:t>
      </w:r>
      <w:r w:rsidRPr="00555F6C">
        <w:t>currently prohibits all use of instant messaging (IM) services, whether internal or external, personal or business.  All business communications must be sent through other established means, such as email, fax or telephone.</w:t>
      </w:r>
    </w:p>
    <w:p w14:paraId="3EF5ADB3" w14:textId="77777777" w:rsidR="00A61B23" w:rsidRDefault="00A61B23" w:rsidP="00A61B23">
      <w:pPr>
        <w:spacing w:after="120"/>
        <w:ind w:left="360"/>
      </w:pPr>
      <w:r>
        <w:rPr>
          <w:rStyle w:val="Strong"/>
        </w:rPr>
        <w:t xml:space="preserve">Peer-to-Peer </w:t>
      </w:r>
      <w:r>
        <w:t>– Use of Peer to Peer (P2P) file sharing software is strictly prohibited on all Company X computer and communication systems.</w:t>
      </w:r>
    </w:p>
    <w:p w14:paraId="721585B7" w14:textId="77777777" w:rsidR="00A61B23" w:rsidRDefault="00A61B23" w:rsidP="00A61B23">
      <w:pPr>
        <w:pStyle w:val="Heading3"/>
      </w:pPr>
      <w:bookmarkStart w:id="20" w:name="_Toc390422720"/>
      <w:bookmarkStart w:id="21" w:name="_Toc442133714"/>
      <w:bookmarkStart w:id="22" w:name="_Toc457917518"/>
      <w:r>
        <w:t>Data Storage</w:t>
      </w:r>
      <w:bookmarkEnd w:id="20"/>
      <w:r>
        <w:t xml:space="preserve"> and Copyrights</w:t>
      </w:r>
      <w:bookmarkEnd w:id="21"/>
      <w:bookmarkEnd w:id="22"/>
    </w:p>
    <w:p w14:paraId="3EB7A794" w14:textId="77777777" w:rsidR="00A61B23" w:rsidRDefault="00A61B23" w:rsidP="00A61B23">
      <w:pPr>
        <w:pStyle w:val="PolicyBodyText"/>
      </w:pPr>
      <w:r w:rsidRPr="00F14E5F">
        <w:rPr>
          <w:b/>
          <w:bCs/>
        </w:rPr>
        <w:t xml:space="preserve">Establishing </w:t>
      </w:r>
      <w:r>
        <w:rPr>
          <w:b/>
          <w:bCs/>
        </w:rPr>
        <w:t xml:space="preserve">Third-Party Storage </w:t>
      </w:r>
      <w:r w:rsidRPr="00F14E5F">
        <w:rPr>
          <w:b/>
          <w:bCs/>
        </w:rPr>
        <w:t>Networks</w:t>
      </w:r>
      <w:r>
        <w:t xml:space="preserve"> - Users must not establish any third-party information storage network that will handle Company X information (social media pages, blogs, cloud storage) without the specific approval of the Information Technology Department.</w:t>
      </w:r>
    </w:p>
    <w:p w14:paraId="26A4BA66" w14:textId="77777777" w:rsidR="00A61B23" w:rsidRDefault="00A61B23" w:rsidP="00A61B23">
      <w:pPr>
        <w:spacing w:after="120"/>
        <w:ind w:left="360"/>
      </w:pPr>
      <w:r w:rsidRPr="007844D5">
        <w:rPr>
          <w:rStyle w:val="Strong"/>
        </w:rPr>
        <w:t>Unauthorized Software And Data Copies</w:t>
      </w:r>
      <w:r>
        <w:t xml:space="preserve"> - Company X strongly supports strict adherence to software vendors' license agreements and copyright holders' notices. Users must not make unauthorized copies of software or other licensed content.  </w:t>
      </w:r>
    </w:p>
    <w:p w14:paraId="188FA889" w14:textId="77777777" w:rsidR="00A61B23" w:rsidRDefault="00A61B23" w:rsidP="00A61B23">
      <w:pPr>
        <w:spacing w:after="120"/>
        <w:ind w:left="360"/>
      </w:pPr>
      <w:r>
        <w:rPr>
          <w:rStyle w:val="Strong"/>
        </w:rPr>
        <w:t xml:space="preserve">Copyright Protection </w:t>
      </w:r>
      <w:r w:rsidRPr="009B1E09">
        <w:t>-</w:t>
      </w:r>
      <w:r>
        <w:t xml:space="preserve"> Company X allows reproduction of copyrighted material only to the extent legally considered "fair use" or with the permission of either the author or publisher.</w:t>
      </w:r>
    </w:p>
    <w:p w14:paraId="5A413C33" w14:textId="77777777" w:rsidR="00A61B23" w:rsidRDefault="00A61B23" w:rsidP="00A61B23">
      <w:pPr>
        <w:spacing w:after="120"/>
        <w:ind w:left="360"/>
      </w:pPr>
      <w:r>
        <w:rPr>
          <w:rStyle w:val="Strong"/>
        </w:rPr>
        <w:lastRenderedPageBreak/>
        <w:t xml:space="preserve">Copying to Personal Storage Devices </w:t>
      </w:r>
      <w:r>
        <w:t>– Company X users must not copy sensitive Company X business information to personal storage devices, including personal mobile phones, USB drives.</w:t>
      </w:r>
    </w:p>
    <w:p w14:paraId="13AF65B8" w14:textId="77777777" w:rsidR="00A61B23" w:rsidRDefault="00A61B23" w:rsidP="00A61B23">
      <w:pPr>
        <w:pStyle w:val="PolicyBodyText"/>
      </w:pPr>
      <w:r>
        <w:rPr>
          <w:b/>
        </w:rPr>
        <w:t>External Storage</w:t>
      </w:r>
      <w:r w:rsidRPr="00F14E5F">
        <w:rPr>
          <w:b/>
        </w:rPr>
        <w:t xml:space="preserve"> </w:t>
      </w:r>
      <w:r>
        <w:rPr>
          <w:b/>
        </w:rPr>
        <w:t>Scanning</w:t>
      </w:r>
      <w:r>
        <w:t xml:space="preserve"> - Externally-supplied USB drives, CD-ROMs, and other removable storage media must not be used unless they have been checked for viruses. </w:t>
      </w:r>
    </w:p>
    <w:p w14:paraId="4ADDFA9E" w14:textId="77777777" w:rsidR="00A61B23" w:rsidRPr="00A36A2B" w:rsidRDefault="00A61B23" w:rsidP="00A61B23">
      <w:pPr>
        <w:pStyle w:val="Heading3"/>
      </w:pPr>
      <w:bookmarkStart w:id="23" w:name="_Toc390422722"/>
      <w:bookmarkStart w:id="24" w:name="_Toc442133715"/>
      <w:bookmarkStart w:id="25" w:name="_Toc457917519"/>
      <w:r w:rsidRPr="00A36A2B">
        <w:rPr>
          <w:rStyle w:val="Strong"/>
          <w:b/>
          <w:bCs/>
        </w:rPr>
        <w:t>Personal Equipment</w:t>
      </w:r>
      <w:bookmarkEnd w:id="23"/>
      <w:bookmarkEnd w:id="24"/>
      <w:bookmarkEnd w:id="25"/>
    </w:p>
    <w:p w14:paraId="40E450C5" w14:textId="77777777" w:rsidR="00A61B23" w:rsidRDefault="00A61B23" w:rsidP="00A61B23">
      <w:pPr>
        <w:pStyle w:val="PolicyBodyText"/>
      </w:pPr>
      <w:r w:rsidRPr="00F14E5F">
        <w:rPr>
          <w:b/>
          <w:bCs/>
        </w:rPr>
        <w:t>Personal Equipment</w:t>
      </w:r>
      <w:r>
        <w:t xml:space="preserve"> - Workers must not bring their own computers, computer peripherals, or computer software into Company X facilities without prior authorization from management. </w:t>
      </w:r>
    </w:p>
    <w:p w14:paraId="11FB7973" w14:textId="77777777" w:rsidR="00A61B23" w:rsidRDefault="00A61B23" w:rsidP="00A61B23">
      <w:pPr>
        <w:pStyle w:val="PolicyBodyText"/>
      </w:pPr>
      <w:r>
        <w:rPr>
          <w:b/>
          <w:bCs/>
        </w:rPr>
        <w:t xml:space="preserve">Use Of Personal Computers </w:t>
      </w:r>
      <w:r w:rsidRPr="009B1E09">
        <w:t>-</w:t>
      </w:r>
      <w:r>
        <w:t xml:space="preserve"> Workers must not use their own personal computers for production Company X business unless these systems have been evaluated and approved by the Information Technology department. </w:t>
      </w:r>
    </w:p>
    <w:p w14:paraId="776EE91F" w14:textId="77777777" w:rsidR="00A61B23" w:rsidRDefault="00A61B23" w:rsidP="00A61B23">
      <w:pPr>
        <w:spacing w:after="120"/>
        <w:ind w:left="360"/>
      </w:pPr>
      <w:r w:rsidRPr="00397D8F">
        <w:rPr>
          <w:rStyle w:val="Strong"/>
        </w:rPr>
        <w:t>Current Virus Software</w:t>
      </w:r>
      <w:r>
        <w:t>- Every Company X worker who examines, processes, or stores Company X information using a computer that he or she owns must install and regularly run the most current version of a virus detection software package approved by the Information Technology Manager.</w:t>
      </w:r>
    </w:p>
    <w:p w14:paraId="74F23AE0" w14:textId="77777777" w:rsidR="00A61B23" w:rsidRDefault="00A61B23" w:rsidP="00A61B23">
      <w:pPr>
        <w:pStyle w:val="NormalIndent"/>
        <w:spacing w:after="120"/>
      </w:pPr>
      <w:r w:rsidRPr="006510F6">
        <w:rPr>
          <w:rStyle w:val="Strong"/>
        </w:rPr>
        <w:t>User Installation Of Software</w:t>
      </w:r>
      <w:r>
        <w:t xml:space="preserve"> - Users must not install software on their personal computers, network servers, or other machines without receiving advance authorization to do so from the Information Technology Manager.</w:t>
      </w:r>
    </w:p>
    <w:p w14:paraId="0BC9A3E1" w14:textId="77777777" w:rsidR="00A61B23" w:rsidRDefault="00A61B23" w:rsidP="00A61B23">
      <w:pPr>
        <w:pStyle w:val="NormalIndent"/>
        <w:spacing w:after="120"/>
      </w:pPr>
      <w:bookmarkStart w:id="26" w:name="_Toc390422724"/>
      <w:r>
        <w:rPr>
          <w:rStyle w:val="Strong"/>
        </w:rPr>
        <w:t xml:space="preserve">Return of Equipment </w:t>
      </w:r>
      <w:r>
        <w:t>– All computer equipment and portable store media (USB, CD-ROM) issued to employees by Company X must be returned to the Information Technology Department when no longer in use.</w:t>
      </w:r>
    </w:p>
    <w:p w14:paraId="51A0B5FF" w14:textId="77777777" w:rsidR="00A61B23" w:rsidRDefault="00A61B23" w:rsidP="00A61B23">
      <w:pPr>
        <w:pStyle w:val="Heading3"/>
      </w:pPr>
      <w:bookmarkStart w:id="27" w:name="_Toc442133716"/>
      <w:bookmarkStart w:id="28" w:name="_Toc457917520"/>
      <w:r>
        <w:t>Telephones and Voice Mail</w:t>
      </w:r>
      <w:bookmarkEnd w:id="26"/>
      <w:bookmarkEnd w:id="27"/>
      <w:bookmarkEnd w:id="28"/>
    </w:p>
    <w:p w14:paraId="1D72C783" w14:textId="77777777" w:rsidR="00A61B23" w:rsidRDefault="00A61B23" w:rsidP="00A61B23">
      <w:pPr>
        <w:spacing w:after="120"/>
        <w:ind w:left="360"/>
      </w:pPr>
      <w:r w:rsidRPr="00897169">
        <w:rPr>
          <w:rStyle w:val="Strong"/>
        </w:rPr>
        <w:t xml:space="preserve">Sensitive Information On </w:t>
      </w:r>
      <w:r>
        <w:rPr>
          <w:rStyle w:val="Strong"/>
        </w:rPr>
        <w:t xml:space="preserve">Voicemail </w:t>
      </w:r>
      <w:r>
        <w:t>- Workers must not record messages containing sensitive client information on answering machines or voice mail systems.</w:t>
      </w:r>
    </w:p>
    <w:p w14:paraId="575CB831" w14:textId="77777777" w:rsidR="00A61B23" w:rsidRDefault="00A61B23" w:rsidP="00A61B23">
      <w:pPr>
        <w:spacing w:after="120"/>
        <w:ind w:left="360"/>
      </w:pPr>
      <w:r>
        <w:rPr>
          <w:rStyle w:val="Strong"/>
        </w:rPr>
        <w:t xml:space="preserve">Voicemail Password Changes </w:t>
      </w:r>
      <w:r>
        <w:t>– Employees must change the default password on all voicemail systems.</w:t>
      </w:r>
    </w:p>
    <w:p w14:paraId="1B131435" w14:textId="77777777" w:rsidR="00A61B23" w:rsidRPr="006A17CD" w:rsidRDefault="00A61B23" w:rsidP="00A61B23">
      <w:pPr>
        <w:pStyle w:val="Heading3"/>
      </w:pPr>
      <w:bookmarkStart w:id="29" w:name="_Toc352613122"/>
      <w:bookmarkStart w:id="30" w:name="_Toc385361272"/>
      <w:bookmarkStart w:id="31" w:name="_Toc441509309"/>
      <w:bookmarkStart w:id="32" w:name="_Toc442133717"/>
      <w:bookmarkStart w:id="33" w:name="_Toc457917521"/>
      <w:r>
        <w:t>Clear Desks</w:t>
      </w:r>
      <w:bookmarkEnd w:id="29"/>
      <w:bookmarkEnd w:id="30"/>
      <w:bookmarkEnd w:id="31"/>
      <w:r>
        <w:t xml:space="preserve"> and Clear Screen</w:t>
      </w:r>
      <w:bookmarkEnd w:id="32"/>
      <w:bookmarkEnd w:id="33"/>
    </w:p>
    <w:p w14:paraId="45FAF804" w14:textId="77777777" w:rsidR="00A61B23" w:rsidRDefault="00A61B23" w:rsidP="00A61B23">
      <w:pPr>
        <w:pStyle w:val="PolicyBodyText"/>
      </w:pPr>
      <w:r>
        <w:rPr>
          <w:b/>
          <w:bCs/>
        </w:rPr>
        <w:t>Securing Sensitive Information</w:t>
      </w:r>
      <w:r w:rsidRPr="006A17CD">
        <w:t xml:space="preserve"> - When not in use, sensitive information must be protected from unauthorized disclosure. When left in an unattended room, such information must be l</w:t>
      </w:r>
      <w:r>
        <w:t>ocked in appropriate containers.</w:t>
      </w:r>
    </w:p>
    <w:p w14:paraId="48098539" w14:textId="77777777" w:rsidR="00A61B23" w:rsidRDefault="00A61B23" w:rsidP="00A61B23">
      <w:pPr>
        <w:pStyle w:val="PolicyBodyText"/>
      </w:pPr>
      <w:r>
        <w:rPr>
          <w:b/>
          <w:bCs/>
        </w:rPr>
        <w:t xml:space="preserve">Clear Desk </w:t>
      </w:r>
      <w:r>
        <w:t xml:space="preserve">– Employees must not leave confidential information lying open on personal desks or workspaces if they are unattended.  </w:t>
      </w:r>
    </w:p>
    <w:p w14:paraId="3048B865" w14:textId="77777777" w:rsidR="00A61B23" w:rsidRDefault="00A61B23" w:rsidP="00A61B23">
      <w:pPr>
        <w:pStyle w:val="PolicyBodyText"/>
      </w:pPr>
      <w:r w:rsidRPr="006A17CD">
        <w:rPr>
          <w:b/>
          <w:bCs/>
        </w:rPr>
        <w:t>Unauthorized Screen Viewing</w:t>
      </w:r>
      <w:r w:rsidRPr="006A17CD">
        <w:t xml:space="preserve"> - The screens on computers used to handle sensitive information must be positioned such that unauthorized persons cannot readily look over the shoulder of the person using the workstation. </w:t>
      </w:r>
    </w:p>
    <w:p w14:paraId="70D6C89D" w14:textId="77777777" w:rsidR="00A61B23" w:rsidRDefault="00A61B23" w:rsidP="00A61B23">
      <w:pPr>
        <w:pStyle w:val="NormalIndent"/>
        <w:spacing w:after="120"/>
      </w:pPr>
      <w:r w:rsidRPr="00C76D3B">
        <w:rPr>
          <w:rStyle w:val="Strong"/>
        </w:rPr>
        <w:t>Unattended Active Sessions</w:t>
      </w:r>
      <w:r>
        <w:t xml:space="preserve"> - If the computer system to which they are connected or which they are using contains sensitive information, users must not leave their personal computer unattended without logging out or invoking a password-protected screen saver.</w:t>
      </w:r>
    </w:p>
    <w:p w14:paraId="7ADB2BA3" w14:textId="77777777" w:rsidR="00A61B23" w:rsidRPr="00A36A2B" w:rsidRDefault="00A61B23" w:rsidP="00A61B23">
      <w:pPr>
        <w:pStyle w:val="Heading3"/>
      </w:pPr>
      <w:bookmarkStart w:id="34" w:name="_Toc390422725"/>
      <w:bookmarkStart w:id="35" w:name="_Toc442133718"/>
      <w:bookmarkStart w:id="36" w:name="_Toc457917522"/>
      <w:r w:rsidRPr="00A36A2B">
        <w:rPr>
          <w:rStyle w:val="Strong"/>
          <w:b/>
          <w:bCs/>
        </w:rPr>
        <w:t>Security Incident Reporting</w:t>
      </w:r>
      <w:bookmarkEnd w:id="34"/>
      <w:bookmarkEnd w:id="35"/>
      <w:bookmarkEnd w:id="36"/>
    </w:p>
    <w:p w14:paraId="45260F1D" w14:textId="77777777" w:rsidR="00A61B23" w:rsidRDefault="00A61B23" w:rsidP="00A61B23">
      <w:pPr>
        <w:spacing w:after="120"/>
        <w:ind w:left="360"/>
      </w:pPr>
      <w:r>
        <w:rPr>
          <w:rStyle w:val="Strong"/>
        </w:rPr>
        <w:lastRenderedPageBreak/>
        <w:t xml:space="preserve">Reporting Security Events </w:t>
      </w:r>
      <w:r>
        <w:t>– Any suspected events that may compromise information security or are known to violate an existing security policy must be immediately reported to the Information Technology Manager.   Examples of these events include:</w:t>
      </w:r>
    </w:p>
    <w:p w14:paraId="601EB1F6" w14:textId="77777777" w:rsidR="00A61B23" w:rsidRDefault="00A61B23" w:rsidP="00A61B23">
      <w:pPr>
        <w:numPr>
          <w:ilvl w:val="0"/>
          <w:numId w:val="7"/>
        </w:numPr>
        <w:spacing w:after="120"/>
      </w:pPr>
      <w:r>
        <w:t>Any</w:t>
      </w:r>
      <w:r w:rsidRPr="00CC6CA2">
        <w:t xml:space="preserve"> unauthorized use o</w:t>
      </w:r>
      <w:r>
        <w:t>f Company X information systems;</w:t>
      </w:r>
    </w:p>
    <w:p w14:paraId="149E0FD3" w14:textId="77777777" w:rsidR="00A61B23" w:rsidRDefault="00A61B23" w:rsidP="00A61B23">
      <w:pPr>
        <w:numPr>
          <w:ilvl w:val="0"/>
          <w:numId w:val="7"/>
        </w:numPr>
        <w:spacing w:after="120"/>
      </w:pPr>
      <w:r>
        <w:t>P</w:t>
      </w:r>
      <w:r w:rsidRPr="00CC6CA2">
        <w:t>asswords or other system access control mechanisms are lost, stolen, or disclosed, or are suspected of being lost</w:t>
      </w:r>
      <w:r>
        <w:t>, stolen, or disclosed;</w:t>
      </w:r>
    </w:p>
    <w:p w14:paraId="0ED1C2E2" w14:textId="77777777" w:rsidR="00A61B23" w:rsidRDefault="00A61B23" w:rsidP="00A61B23">
      <w:pPr>
        <w:numPr>
          <w:ilvl w:val="0"/>
          <w:numId w:val="7"/>
        </w:numPr>
        <w:spacing w:after="120"/>
      </w:pPr>
      <w:r w:rsidRPr="00CC6CA2">
        <w:t>All unusual systems behavior, such as missing files, frequent system crashes, and misrouted messages</w:t>
      </w:r>
      <w:r>
        <w:t>;</w:t>
      </w:r>
    </w:p>
    <w:p w14:paraId="202E188B" w14:textId="77777777" w:rsidR="00A61B23" w:rsidRDefault="00A61B23" w:rsidP="00A61B23">
      <w:pPr>
        <w:numPr>
          <w:ilvl w:val="0"/>
          <w:numId w:val="7"/>
        </w:numPr>
        <w:spacing w:after="120"/>
      </w:pPr>
      <w:r>
        <w:t>Suspected or actual disclosure of Sensitive Company X information to unauthorized third parties.</w:t>
      </w:r>
      <w:r w:rsidRPr="00CC6CA2">
        <w:t xml:space="preserve">  </w:t>
      </w:r>
    </w:p>
    <w:p w14:paraId="23704811" w14:textId="77777777" w:rsidR="00A437C9" w:rsidRPr="00074BA0" w:rsidRDefault="00924538" w:rsidP="00074BA0">
      <w:pPr>
        <w:pStyle w:val="PolicyElementHeader"/>
        <w:rPr>
          <w:bCs/>
          <w:color w:val="00527A"/>
        </w:rPr>
      </w:pPr>
      <w:bookmarkStart w:id="37" w:name="_Toc457917523"/>
      <w:r>
        <w:rPr>
          <w:bCs/>
          <w:color w:val="00527A"/>
        </w:rPr>
        <w:t>Violations</w:t>
      </w:r>
      <w:bookmarkEnd w:id="10"/>
      <w:bookmarkEnd w:id="37"/>
    </w:p>
    <w:p w14:paraId="2589772A" w14:textId="77777777" w:rsidR="003C1B8C" w:rsidRPr="002A7256"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r w:rsidR="001E1517">
        <w:rPr>
          <w:rFonts w:eastAsia="MS Mincho"/>
        </w:rPr>
        <w:t>Company X</w:t>
      </w:r>
      <w:r w:rsidRPr="002A7256">
        <w:rPr>
          <w:rFonts w:eastAsia="MS Mincho"/>
        </w:rPr>
        <w:t xml:space="preserve"> reserves the right to notify the appropriate law enforcement authorities of any unlawful activity and to cooperate in any investigation of such activity. </w:t>
      </w:r>
      <w:r w:rsidR="001E1517">
        <w:rPr>
          <w:rFonts w:eastAsia="MS Mincho"/>
        </w:rPr>
        <w:t>Company X</w:t>
      </w:r>
      <w:r w:rsidRPr="002A7256">
        <w:rPr>
          <w:rFonts w:eastAsia="MS Mincho"/>
        </w:rPr>
        <w:t xml:space="preserve"> does not consider conduct in violation of this policy to be within an employee’s or partner’s course and scope of employment, or the direct consequence of the discharge of the employee’s or partner’s duties. Accordingly, to the extent permitted by law, </w:t>
      </w:r>
      <w:r w:rsidR="001E1517">
        <w:rPr>
          <w:rFonts w:eastAsia="MS Mincho"/>
        </w:rPr>
        <w:t>Company X</w:t>
      </w:r>
      <w:r w:rsidRPr="002A7256">
        <w:rPr>
          <w:rFonts w:eastAsia="MS Mincho"/>
        </w:rPr>
        <w:t xml:space="preserve"> reserves the right not to defend or pay any damages awarded against employees or partners that result from violation of this policy.</w:t>
      </w:r>
    </w:p>
    <w:p w14:paraId="25AD4892" w14:textId="77777777" w:rsidR="00A437C9" w:rsidRPr="003F09FA" w:rsidRDefault="00A437C9" w:rsidP="003F09FA">
      <w:pPr>
        <w:pStyle w:val="PolicyElementHeader"/>
        <w:rPr>
          <w:bCs/>
          <w:color w:val="00527A"/>
        </w:rPr>
      </w:pPr>
      <w:bookmarkStart w:id="38" w:name="_Toc241985855"/>
      <w:bookmarkStart w:id="39" w:name="_Toc457917524"/>
      <w:r w:rsidRPr="003F09FA">
        <w:rPr>
          <w:bCs/>
          <w:color w:val="00527A"/>
        </w:rPr>
        <w:t>Definitions</w:t>
      </w:r>
      <w:bookmarkEnd w:id="38"/>
      <w:bookmarkEnd w:id="39"/>
    </w:p>
    <w:p w14:paraId="03C5D95E" w14:textId="77777777" w:rsidR="00A61B23" w:rsidRDefault="00A61B23" w:rsidP="00A61B23">
      <w:pPr>
        <w:spacing w:after="120"/>
        <w:jc w:val="both"/>
        <w:rPr>
          <w:bCs/>
        </w:rPr>
      </w:pPr>
      <w:r>
        <w:rPr>
          <w:b/>
          <w:bCs/>
        </w:rPr>
        <w:t xml:space="preserve">Information Asset – </w:t>
      </w:r>
      <w:r w:rsidRPr="00D62668">
        <w:rPr>
          <w:bCs/>
        </w:rPr>
        <w:t xml:space="preserve">Any </w:t>
      </w:r>
      <w:r>
        <w:t>Company X</w:t>
      </w:r>
      <w:r w:rsidRPr="00D62668">
        <w:rPr>
          <w:bCs/>
        </w:rPr>
        <w:t xml:space="preserve"> data in any form, and the equipment used to manage, process, or store </w:t>
      </w:r>
      <w:r>
        <w:rPr>
          <w:bCs/>
        </w:rPr>
        <w:t>Company X</w:t>
      </w:r>
      <w:r w:rsidRPr="00D62668">
        <w:rPr>
          <w:bCs/>
        </w:rPr>
        <w:t xml:space="preserve"> data, that is used in the course of executing business.  This includes, but is not limited to, corporate, customer, and partner data.</w:t>
      </w:r>
    </w:p>
    <w:p w14:paraId="583093D5" w14:textId="77777777" w:rsidR="00A61B23" w:rsidRDefault="00A61B23" w:rsidP="007129D9">
      <w:pPr>
        <w:spacing w:after="120"/>
        <w:jc w:val="both"/>
      </w:pPr>
      <w:r>
        <w:rPr>
          <w:b/>
          <w:bCs/>
        </w:rPr>
        <w:t>Third-Party</w:t>
      </w:r>
      <w:r w:rsidRPr="00CA3C71">
        <w:rPr>
          <w:b/>
        </w:rPr>
        <w:t xml:space="preserve"> – </w:t>
      </w:r>
      <w:r w:rsidRPr="0034512D">
        <w:t xml:space="preserve">Any non-employee of </w:t>
      </w:r>
      <w:r>
        <w:t>Company X</w:t>
      </w:r>
      <w:r w:rsidRPr="0034512D">
        <w:t xml:space="preserve"> who is contractually bound to provide some form of service to </w:t>
      </w:r>
      <w:r>
        <w:t>Company X</w:t>
      </w:r>
      <w:r w:rsidRPr="0034512D">
        <w:t>.</w:t>
      </w:r>
    </w:p>
    <w:p w14:paraId="5AA4446B" w14:textId="77777777" w:rsidR="00BA7551" w:rsidRDefault="00BA7551" w:rsidP="00BA7551">
      <w:pPr>
        <w:spacing w:after="120"/>
        <w:jc w:val="both"/>
      </w:pPr>
      <w:r w:rsidRPr="00DC440B">
        <w:rPr>
          <w:b/>
        </w:rPr>
        <w:t>Password</w:t>
      </w:r>
      <w:r>
        <w:t xml:space="preserve"> </w:t>
      </w:r>
      <w:r w:rsidRPr="00CA3C71">
        <w:rPr>
          <w:b/>
        </w:rPr>
        <w:t xml:space="preserve">– </w:t>
      </w:r>
      <w:r w:rsidRPr="00DC440B">
        <w:t xml:space="preserve">An arbitrary string of characters chosen by a user </w:t>
      </w:r>
      <w:r>
        <w:t xml:space="preserve">that is </w:t>
      </w:r>
      <w:r w:rsidRPr="00DC440B">
        <w:t>used to authenticate the user when he attempts to log on, in order to prevent unauthorized access to his account.</w:t>
      </w:r>
    </w:p>
    <w:p w14:paraId="6AE1A83E" w14:textId="77777777" w:rsidR="00F51BD1" w:rsidRDefault="007129D9" w:rsidP="00C64EAF">
      <w:pPr>
        <w:spacing w:after="120"/>
        <w:jc w:val="both"/>
      </w:pPr>
      <w:r w:rsidRPr="00EC4A77">
        <w:rPr>
          <w:b/>
          <w:bCs/>
        </w:rPr>
        <w:t>User</w:t>
      </w:r>
      <w:r w:rsidRPr="00EC4A77">
        <w:rPr>
          <w:b/>
        </w:rPr>
        <w:t xml:space="preserve"> - </w:t>
      </w:r>
      <w:r w:rsidRPr="00EC4A77">
        <w:t xml:space="preserve">Any </w:t>
      </w:r>
      <w:r w:rsidR="001E1517">
        <w:t>Company X</w:t>
      </w:r>
      <w:r w:rsidRPr="00EC4A77">
        <w:t xml:space="preserve"> employee or partner who has been authorized to access any </w:t>
      </w:r>
      <w:r w:rsidR="001E1517">
        <w:t>Company X</w:t>
      </w:r>
      <w:r w:rsidRPr="00EC4A77">
        <w:t xml:space="preserve"> electronic information resource.</w:t>
      </w:r>
    </w:p>
    <w:p w14:paraId="6E003786" w14:textId="77777777" w:rsidR="00D13DA3" w:rsidRDefault="00D13DA3" w:rsidP="00D13DA3">
      <w:pPr>
        <w:pStyle w:val="PolicyElementHeader"/>
        <w:rPr>
          <w:color w:val="00527A"/>
          <w:szCs w:val="28"/>
        </w:rPr>
      </w:pPr>
      <w:bookmarkStart w:id="40" w:name="_Toc178155364"/>
      <w:bookmarkStart w:id="41" w:name="_Toc241985856"/>
      <w:bookmarkStart w:id="42" w:name="_Toc457917525"/>
      <w:r>
        <w:rPr>
          <w:color w:val="00527A"/>
          <w:szCs w:val="28"/>
        </w:rPr>
        <w:t>References</w:t>
      </w:r>
      <w:bookmarkEnd w:id="40"/>
      <w:bookmarkEnd w:id="41"/>
      <w:bookmarkEnd w:id="42"/>
    </w:p>
    <w:p w14:paraId="195F0A31" w14:textId="77777777" w:rsidR="00965518" w:rsidRDefault="00965518" w:rsidP="00965518">
      <w:pPr>
        <w:rPr>
          <w:bCs/>
        </w:rPr>
      </w:pPr>
      <w:bookmarkStart w:id="43" w:name="_Toc178155365"/>
      <w:bookmarkStart w:id="44" w:name="_Toc241985857"/>
      <w:r>
        <w:rPr>
          <w:bCs/>
        </w:rPr>
        <w:t>CPL: 4.5 Acceptable Use of Assets</w:t>
      </w:r>
    </w:p>
    <w:p w14:paraId="6E16ACAD" w14:textId="77777777" w:rsidR="00965518" w:rsidRDefault="00965518" w:rsidP="00965518">
      <w:r w:rsidRPr="007D37A8">
        <w:rPr>
          <w:bCs/>
        </w:rPr>
        <w:t>ISO/IEC 27002</w:t>
      </w:r>
      <w:bookmarkStart w:id="45" w:name="_Toc106664198"/>
      <w:r>
        <w:rPr>
          <w:iCs/>
        </w:rPr>
        <w:t xml:space="preserve">: </w:t>
      </w:r>
      <w:r>
        <w:t>8</w:t>
      </w:r>
      <w:r w:rsidRPr="004254C1">
        <w:t>.1.3 Acceptable Use of Assets</w:t>
      </w:r>
      <w:bookmarkEnd w:id="45"/>
    </w:p>
    <w:p w14:paraId="76EB4F7F" w14:textId="77777777" w:rsidR="00965518" w:rsidRDefault="00965518" w:rsidP="00965518">
      <w:r w:rsidRPr="002F0A95">
        <w:t>HIPAA: Workstation Use 164.310(b) (R)</w:t>
      </w:r>
    </w:p>
    <w:p w14:paraId="3C55B5A5" w14:textId="77777777" w:rsidR="00965518" w:rsidRDefault="00965518" w:rsidP="00965518">
      <w:r w:rsidRPr="0066158E">
        <w:t>PCI</w:t>
      </w:r>
      <w:r>
        <w:t>-DSS</w:t>
      </w:r>
      <w:r w:rsidRPr="0066158E">
        <w:t>: 12.3 Acceptable Usage</w:t>
      </w:r>
    </w:p>
    <w:p w14:paraId="3F26542E" w14:textId="77777777" w:rsidR="00965518" w:rsidRDefault="00965518" w:rsidP="00965518">
      <w:r>
        <w:t xml:space="preserve">NIST: </w:t>
      </w:r>
      <w:r w:rsidRPr="0066158E">
        <w:t>PL-4 Rules of Behavior</w:t>
      </w:r>
    </w:p>
    <w:p w14:paraId="3C784F5D" w14:textId="77777777" w:rsidR="00965518" w:rsidRDefault="00965518" w:rsidP="00DF66EE"/>
    <w:p w14:paraId="6E8976C7" w14:textId="77777777" w:rsidR="00F51BD1" w:rsidRPr="007D37A8" w:rsidRDefault="00D13DA3" w:rsidP="007D37A8">
      <w:pPr>
        <w:pStyle w:val="PolicyElementHeader"/>
        <w:rPr>
          <w:color w:val="00527A"/>
          <w:szCs w:val="28"/>
        </w:rPr>
      </w:pPr>
      <w:bookmarkStart w:id="46" w:name="_Toc457917526"/>
      <w:r>
        <w:rPr>
          <w:color w:val="00527A"/>
          <w:szCs w:val="28"/>
        </w:rPr>
        <w:t>Related Documents</w:t>
      </w:r>
      <w:bookmarkEnd w:id="43"/>
      <w:bookmarkEnd w:id="44"/>
      <w:bookmarkEnd w:id="46"/>
    </w:p>
    <w:p w14:paraId="2A9EA1E3" w14:textId="77777777" w:rsidR="00D13DA3" w:rsidRDefault="00D13DA3"/>
    <w:p w14:paraId="22B54307" w14:textId="77777777" w:rsidR="00D13DA3" w:rsidRPr="00EF734B" w:rsidRDefault="00D13DA3" w:rsidP="00EF734B">
      <w:pPr>
        <w:pStyle w:val="PolicyElementHeader"/>
        <w:rPr>
          <w:bCs/>
          <w:color w:val="00527A"/>
        </w:rPr>
      </w:pPr>
      <w:bookmarkStart w:id="47" w:name="_Toc241985858"/>
      <w:bookmarkStart w:id="48" w:name="_Toc457917527"/>
      <w:r w:rsidRPr="00EF734B">
        <w:rPr>
          <w:bCs/>
          <w:color w:val="00527A"/>
        </w:rPr>
        <w:lastRenderedPageBreak/>
        <w:t>Approval and Ownership</w:t>
      </w:r>
      <w:bookmarkEnd w:id="47"/>
      <w:bookmarkEnd w:id="48"/>
    </w:p>
    <w:p w14:paraId="1ED93AE9" w14:textId="77777777" w:rsidR="00385F82" w:rsidRPr="00385F82" w:rsidRDefault="00385F82" w:rsidP="00385F8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D13DA3" w14:paraId="3AFE00C4" w14:textId="77777777">
        <w:trPr>
          <w:trHeight w:val="346"/>
        </w:trPr>
        <w:tc>
          <w:tcPr>
            <w:tcW w:w="2520" w:type="dxa"/>
            <w:shd w:val="pct10" w:color="auto" w:fill="auto"/>
            <w:tcMar>
              <w:top w:w="29" w:type="dxa"/>
              <w:left w:w="115" w:type="dxa"/>
              <w:bottom w:w="29" w:type="dxa"/>
              <w:right w:w="115" w:type="dxa"/>
            </w:tcMar>
            <w:vAlign w:val="center"/>
          </w:tcPr>
          <w:p w14:paraId="0EB5CE8B" w14:textId="77777777" w:rsidR="00D13DA3" w:rsidRDefault="006C099D" w:rsidP="007D37A8">
            <w:pPr>
              <w:pStyle w:val="FooterTableHeader"/>
            </w:pPr>
            <w:r>
              <w:t>Owner</w:t>
            </w:r>
          </w:p>
        </w:tc>
        <w:tc>
          <w:tcPr>
            <w:tcW w:w="2520" w:type="dxa"/>
            <w:shd w:val="pct10" w:color="auto" w:fill="auto"/>
            <w:tcMar>
              <w:top w:w="29" w:type="dxa"/>
              <w:left w:w="115" w:type="dxa"/>
              <w:bottom w:w="29" w:type="dxa"/>
              <w:right w:w="115" w:type="dxa"/>
            </w:tcMar>
            <w:vAlign w:val="center"/>
          </w:tcPr>
          <w:p w14:paraId="6FC1726D" w14:textId="77777777" w:rsidR="00D13DA3" w:rsidRDefault="00D13DA3" w:rsidP="007D37A8">
            <w:pPr>
              <w:pStyle w:val="FooterTableHeader"/>
            </w:pPr>
            <w:r>
              <w:t>Title</w:t>
            </w:r>
          </w:p>
        </w:tc>
        <w:tc>
          <w:tcPr>
            <w:tcW w:w="1980" w:type="dxa"/>
            <w:shd w:val="pct10" w:color="auto" w:fill="auto"/>
            <w:tcMar>
              <w:top w:w="29" w:type="dxa"/>
              <w:left w:w="115" w:type="dxa"/>
              <w:bottom w:w="29" w:type="dxa"/>
              <w:right w:w="115" w:type="dxa"/>
            </w:tcMar>
            <w:vAlign w:val="center"/>
          </w:tcPr>
          <w:p w14:paraId="6B4FA7D2" w14:textId="77777777" w:rsidR="00D13DA3" w:rsidRDefault="00D13DA3" w:rsidP="007D37A8">
            <w:pPr>
              <w:pStyle w:val="FooterTableHeader"/>
            </w:pPr>
            <w:r>
              <w:t>Date</w:t>
            </w:r>
          </w:p>
        </w:tc>
        <w:tc>
          <w:tcPr>
            <w:tcW w:w="2340" w:type="dxa"/>
            <w:shd w:val="pct10" w:color="auto" w:fill="auto"/>
            <w:tcMar>
              <w:top w:w="29" w:type="dxa"/>
              <w:left w:w="115" w:type="dxa"/>
              <w:bottom w:w="29" w:type="dxa"/>
              <w:right w:w="115" w:type="dxa"/>
            </w:tcMar>
            <w:vAlign w:val="center"/>
          </w:tcPr>
          <w:p w14:paraId="69E6169A" w14:textId="77777777" w:rsidR="00D13DA3" w:rsidRDefault="00D13DA3" w:rsidP="007D37A8">
            <w:pPr>
              <w:pStyle w:val="FooterTableHeader"/>
            </w:pPr>
            <w:r>
              <w:t>Signature</w:t>
            </w:r>
          </w:p>
        </w:tc>
      </w:tr>
      <w:tr w:rsidR="002B50C6" w14:paraId="6F0E07E3" w14:textId="77777777">
        <w:trPr>
          <w:trHeight w:val="346"/>
        </w:trPr>
        <w:tc>
          <w:tcPr>
            <w:tcW w:w="2520" w:type="dxa"/>
            <w:tcBorders>
              <w:bottom w:val="single" w:sz="4" w:space="0" w:color="auto"/>
            </w:tcBorders>
            <w:tcMar>
              <w:top w:w="29" w:type="dxa"/>
              <w:left w:w="115" w:type="dxa"/>
              <w:bottom w:w="29" w:type="dxa"/>
              <w:right w:w="115" w:type="dxa"/>
            </w:tcMar>
            <w:vAlign w:val="center"/>
          </w:tcPr>
          <w:p w14:paraId="3D702B7B" w14:textId="77777777" w:rsidR="002B50C6" w:rsidRPr="0043775C" w:rsidRDefault="001E1517" w:rsidP="007D37A8">
            <w:pPr>
              <w:pStyle w:val="PolicyHeaderFill"/>
            </w:pPr>
            <w:r>
              <w:t>Policy Author</w:t>
            </w:r>
          </w:p>
        </w:tc>
        <w:tc>
          <w:tcPr>
            <w:tcW w:w="2520" w:type="dxa"/>
            <w:tcBorders>
              <w:bottom w:val="single" w:sz="4" w:space="0" w:color="auto"/>
            </w:tcBorders>
            <w:tcMar>
              <w:top w:w="29" w:type="dxa"/>
              <w:left w:w="115" w:type="dxa"/>
              <w:bottom w:w="29" w:type="dxa"/>
              <w:right w:w="115" w:type="dxa"/>
            </w:tcMar>
            <w:vAlign w:val="center"/>
          </w:tcPr>
          <w:p w14:paraId="1340E414" w14:textId="77777777" w:rsidR="002B50C6" w:rsidRPr="0043775C" w:rsidRDefault="00B53867" w:rsidP="007D37A8">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14:paraId="3B7A974D" w14:textId="77777777" w:rsidR="002B50C6" w:rsidRPr="0043775C" w:rsidRDefault="00A61B23" w:rsidP="007D37A8">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14:paraId="690B3C1D" w14:textId="77777777" w:rsidR="002B50C6" w:rsidRDefault="002B50C6" w:rsidP="007D37A8">
            <w:pPr>
              <w:jc w:val="center"/>
            </w:pPr>
          </w:p>
        </w:tc>
      </w:tr>
      <w:tr w:rsidR="002B50C6" w14:paraId="27667534" w14:textId="77777777">
        <w:trPr>
          <w:trHeight w:val="346"/>
        </w:trPr>
        <w:tc>
          <w:tcPr>
            <w:tcW w:w="2520" w:type="dxa"/>
            <w:shd w:val="pct10" w:color="auto" w:fill="auto"/>
            <w:tcMar>
              <w:top w:w="29" w:type="dxa"/>
              <w:left w:w="115" w:type="dxa"/>
              <w:bottom w:w="29" w:type="dxa"/>
              <w:right w:w="115" w:type="dxa"/>
            </w:tcMar>
            <w:vAlign w:val="center"/>
          </w:tcPr>
          <w:p w14:paraId="08518A20" w14:textId="77777777" w:rsidR="002B50C6" w:rsidRDefault="002B50C6" w:rsidP="007D37A8">
            <w:pPr>
              <w:pStyle w:val="FooterTableHeader"/>
            </w:pPr>
            <w:r>
              <w:t>Approved By</w:t>
            </w:r>
          </w:p>
        </w:tc>
        <w:tc>
          <w:tcPr>
            <w:tcW w:w="2520" w:type="dxa"/>
            <w:shd w:val="pct10" w:color="auto" w:fill="auto"/>
            <w:tcMar>
              <w:top w:w="29" w:type="dxa"/>
              <w:left w:w="115" w:type="dxa"/>
              <w:bottom w:w="29" w:type="dxa"/>
              <w:right w:w="115" w:type="dxa"/>
            </w:tcMar>
            <w:vAlign w:val="center"/>
          </w:tcPr>
          <w:p w14:paraId="3B2CAE70" w14:textId="77777777" w:rsidR="002B50C6" w:rsidRDefault="002B50C6" w:rsidP="007D37A8">
            <w:pPr>
              <w:pStyle w:val="FooterTableHeader"/>
            </w:pPr>
            <w:r>
              <w:t>Title</w:t>
            </w:r>
          </w:p>
        </w:tc>
        <w:tc>
          <w:tcPr>
            <w:tcW w:w="1980" w:type="dxa"/>
            <w:shd w:val="pct10" w:color="auto" w:fill="auto"/>
            <w:tcMar>
              <w:top w:w="29" w:type="dxa"/>
              <w:left w:w="115" w:type="dxa"/>
              <w:bottom w:w="29" w:type="dxa"/>
              <w:right w:w="115" w:type="dxa"/>
            </w:tcMar>
            <w:vAlign w:val="center"/>
          </w:tcPr>
          <w:p w14:paraId="3C2CDD19" w14:textId="77777777" w:rsidR="002B50C6" w:rsidRDefault="002B50C6" w:rsidP="007D37A8">
            <w:pPr>
              <w:pStyle w:val="FooterTableHeader"/>
            </w:pPr>
            <w:r>
              <w:t>Date</w:t>
            </w:r>
          </w:p>
        </w:tc>
        <w:tc>
          <w:tcPr>
            <w:tcW w:w="2340" w:type="dxa"/>
            <w:shd w:val="pct10" w:color="auto" w:fill="auto"/>
            <w:tcMar>
              <w:top w:w="29" w:type="dxa"/>
              <w:left w:w="115" w:type="dxa"/>
              <w:bottom w:w="29" w:type="dxa"/>
              <w:right w:w="115" w:type="dxa"/>
            </w:tcMar>
            <w:vAlign w:val="center"/>
          </w:tcPr>
          <w:p w14:paraId="202ADCD4" w14:textId="77777777" w:rsidR="002B50C6" w:rsidRDefault="002B50C6" w:rsidP="007D37A8">
            <w:pPr>
              <w:pStyle w:val="FooterTableHeader"/>
            </w:pPr>
            <w:r>
              <w:t>Signature</w:t>
            </w:r>
          </w:p>
        </w:tc>
      </w:tr>
      <w:tr w:rsidR="002B50C6" w14:paraId="65ABCDCA" w14:textId="77777777">
        <w:trPr>
          <w:trHeight w:val="346"/>
        </w:trPr>
        <w:tc>
          <w:tcPr>
            <w:tcW w:w="2520" w:type="dxa"/>
            <w:tcMar>
              <w:top w:w="29" w:type="dxa"/>
              <w:left w:w="115" w:type="dxa"/>
              <w:bottom w:w="29" w:type="dxa"/>
              <w:right w:w="115" w:type="dxa"/>
            </w:tcMar>
            <w:vAlign w:val="center"/>
          </w:tcPr>
          <w:p w14:paraId="20AB0A9C" w14:textId="77777777" w:rsidR="002B50C6" w:rsidRPr="0043775C" w:rsidRDefault="00B53867" w:rsidP="007D37A8">
            <w:pPr>
              <w:pStyle w:val="PolicyHeaderFill"/>
            </w:pPr>
            <w:r w:rsidRPr="0093202E">
              <w:rPr>
                <w:highlight w:val="yellow"/>
              </w:rPr>
              <w:t>Executive Sponsor</w:t>
            </w:r>
          </w:p>
        </w:tc>
        <w:tc>
          <w:tcPr>
            <w:tcW w:w="2520" w:type="dxa"/>
            <w:tcMar>
              <w:top w:w="29" w:type="dxa"/>
              <w:left w:w="115" w:type="dxa"/>
              <w:bottom w:w="29" w:type="dxa"/>
              <w:right w:w="115" w:type="dxa"/>
            </w:tcMar>
            <w:vAlign w:val="center"/>
          </w:tcPr>
          <w:p w14:paraId="5CC2B76C" w14:textId="77777777" w:rsidR="002B50C6" w:rsidRPr="0043775C" w:rsidRDefault="00B53867" w:rsidP="007D37A8">
            <w:pPr>
              <w:pStyle w:val="PolicyHeaderFill"/>
            </w:pPr>
            <w:r>
              <w:t>Title</w:t>
            </w:r>
          </w:p>
        </w:tc>
        <w:tc>
          <w:tcPr>
            <w:tcW w:w="1980" w:type="dxa"/>
            <w:tcMar>
              <w:top w:w="29" w:type="dxa"/>
              <w:left w:w="115" w:type="dxa"/>
              <w:bottom w:w="29" w:type="dxa"/>
              <w:right w:w="115" w:type="dxa"/>
            </w:tcMar>
            <w:vAlign w:val="center"/>
          </w:tcPr>
          <w:p w14:paraId="35037F47" w14:textId="77777777" w:rsidR="002B50C6" w:rsidRPr="0043775C" w:rsidRDefault="00A61B23" w:rsidP="007D37A8">
            <w:pPr>
              <w:pStyle w:val="PolicyHeaderFill"/>
            </w:pPr>
            <w:r>
              <w:t>MM/DD/YYYY</w:t>
            </w:r>
          </w:p>
        </w:tc>
        <w:tc>
          <w:tcPr>
            <w:tcW w:w="2340" w:type="dxa"/>
            <w:tcMar>
              <w:top w:w="29" w:type="dxa"/>
              <w:left w:w="115" w:type="dxa"/>
              <w:bottom w:w="29" w:type="dxa"/>
              <w:right w:w="115" w:type="dxa"/>
            </w:tcMar>
            <w:vAlign w:val="center"/>
          </w:tcPr>
          <w:p w14:paraId="6236A6D9" w14:textId="77777777" w:rsidR="002B50C6" w:rsidRDefault="002B50C6" w:rsidP="007D37A8">
            <w:pPr>
              <w:jc w:val="center"/>
            </w:pPr>
          </w:p>
        </w:tc>
      </w:tr>
    </w:tbl>
    <w:p w14:paraId="0B029AFF" w14:textId="77777777" w:rsidR="002B50C6" w:rsidRPr="00EF734B" w:rsidRDefault="002B50C6" w:rsidP="00EF734B">
      <w:pPr>
        <w:pStyle w:val="PolicyElementHeader"/>
        <w:rPr>
          <w:bCs/>
          <w:color w:val="00527A"/>
        </w:rPr>
      </w:pPr>
      <w:bookmarkStart w:id="49" w:name="_Toc241985859"/>
      <w:bookmarkStart w:id="50" w:name="_Toc457917528"/>
      <w:r w:rsidRPr="00EF734B">
        <w:rPr>
          <w:bCs/>
          <w:color w:val="00527A"/>
        </w:rPr>
        <w:t>Revision History</w:t>
      </w:r>
      <w:bookmarkEnd w:id="49"/>
      <w:bookmarkEnd w:id="50"/>
    </w:p>
    <w:p w14:paraId="7E00EF97" w14:textId="77777777" w:rsidR="002B50C6" w:rsidRDefault="002B50C6" w:rsidP="002B50C6"/>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209E" w:rsidRPr="0076502A" w14:paraId="3225EDFA" w14:textId="77777777">
        <w:trPr>
          <w:trHeight w:val="566"/>
        </w:trPr>
        <w:tc>
          <w:tcPr>
            <w:tcW w:w="624" w:type="pct"/>
            <w:shd w:val="pct10" w:color="auto" w:fill="auto"/>
            <w:vAlign w:val="center"/>
          </w:tcPr>
          <w:p w14:paraId="04F47496" w14:textId="77777777" w:rsidR="00DA209E" w:rsidRPr="00DA209E" w:rsidRDefault="00DA209E" w:rsidP="009246D3">
            <w:pPr>
              <w:pStyle w:val="FooterTableHeader"/>
            </w:pPr>
            <w:r w:rsidRPr="00DA209E">
              <w:t>Version</w:t>
            </w:r>
          </w:p>
        </w:tc>
        <w:tc>
          <w:tcPr>
            <w:tcW w:w="1540" w:type="pct"/>
            <w:shd w:val="pct10" w:color="auto" w:fill="auto"/>
            <w:vAlign w:val="center"/>
          </w:tcPr>
          <w:p w14:paraId="3129545E" w14:textId="77777777" w:rsidR="00DA209E" w:rsidRPr="00DA209E" w:rsidRDefault="00DA209E" w:rsidP="009246D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14:paraId="199664A1" w14:textId="77777777" w:rsidR="00DA209E" w:rsidRPr="00DA209E" w:rsidRDefault="00DA209E" w:rsidP="009246D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14:paraId="399F3D18" w14:textId="77777777" w:rsidR="00DA209E" w:rsidRPr="00DA209E" w:rsidRDefault="00DA209E" w:rsidP="009246D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14:paraId="2CF79BEF" w14:textId="77777777" w:rsidR="00DA209E" w:rsidRPr="00DA209E" w:rsidRDefault="00DA209E" w:rsidP="009246D3">
            <w:pPr>
              <w:pStyle w:val="FooterTableHeader"/>
            </w:pPr>
            <w:r>
              <w:t>Reviewer/Approver</w:t>
            </w:r>
            <w:r w:rsidRPr="00DA209E">
              <w:br/>
              <w:t>Name</w:t>
            </w:r>
          </w:p>
        </w:tc>
      </w:tr>
      <w:tr w:rsidR="00DA209E" w:rsidRPr="0076502A" w14:paraId="1C5BC1F5" w14:textId="77777777">
        <w:trPr>
          <w:trHeight w:val="288"/>
        </w:trPr>
        <w:tc>
          <w:tcPr>
            <w:tcW w:w="624" w:type="pct"/>
            <w:vAlign w:val="center"/>
          </w:tcPr>
          <w:p w14:paraId="7427549A" w14:textId="77777777" w:rsidR="00DA209E" w:rsidRPr="00DA209E" w:rsidRDefault="00DA209E" w:rsidP="009246D3">
            <w:pPr>
              <w:pStyle w:val="PolicyHeaderFill"/>
            </w:pPr>
            <w:r w:rsidRPr="00DA209E">
              <w:t>1.0</w:t>
            </w:r>
          </w:p>
        </w:tc>
        <w:tc>
          <w:tcPr>
            <w:tcW w:w="1540" w:type="pct"/>
            <w:vAlign w:val="center"/>
          </w:tcPr>
          <w:p w14:paraId="23E58E69" w14:textId="77777777" w:rsidR="00DA209E" w:rsidRPr="00DA209E" w:rsidRDefault="00DA209E" w:rsidP="009246D3">
            <w:pPr>
              <w:pStyle w:val="PolicyHeaderFill"/>
            </w:pPr>
            <w:r w:rsidRPr="00DA209E">
              <w:t>Initial Version</w:t>
            </w:r>
          </w:p>
        </w:tc>
        <w:tc>
          <w:tcPr>
            <w:tcW w:w="817" w:type="pct"/>
            <w:tcMar>
              <w:top w:w="29" w:type="dxa"/>
              <w:left w:w="115" w:type="dxa"/>
              <w:bottom w:w="29" w:type="dxa"/>
              <w:right w:w="115" w:type="dxa"/>
            </w:tcMar>
            <w:vAlign w:val="center"/>
          </w:tcPr>
          <w:p w14:paraId="38950C5D" w14:textId="77777777" w:rsidR="00DA209E" w:rsidRPr="00DA209E" w:rsidRDefault="00A61B23" w:rsidP="009246D3">
            <w:pPr>
              <w:pStyle w:val="PolicyHeaderFill"/>
            </w:pPr>
            <w:r>
              <w:t>MM/DD/YYYY</w:t>
            </w:r>
          </w:p>
        </w:tc>
        <w:tc>
          <w:tcPr>
            <w:tcW w:w="817" w:type="pct"/>
            <w:tcMar>
              <w:top w:w="29" w:type="dxa"/>
              <w:left w:w="115" w:type="dxa"/>
              <w:bottom w:w="29" w:type="dxa"/>
              <w:right w:w="115" w:type="dxa"/>
            </w:tcMar>
            <w:vAlign w:val="center"/>
          </w:tcPr>
          <w:p w14:paraId="49082ACB" w14:textId="77777777" w:rsidR="00DA209E" w:rsidRPr="00DA209E" w:rsidRDefault="00A61B23" w:rsidP="009246D3">
            <w:pPr>
              <w:pStyle w:val="PolicyHeaderFill"/>
            </w:pPr>
            <w:r>
              <w:t>MM/DD/YYYY</w:t>
            </w:r>
          </w:p>
        </w:tc>
        <w:tc>
          <w:tcPr>
            <w:tcW w:w="1202" w:type="pct"/>
            <w:tcMar>
              <w:top w:w="29" w:type="dxa"/>
              <w:left w:w="115" w:type="dxa"/>
              <w:bottom w:w="29" w:type="dxa"/>
              <w:right w:w="115" w:type="dxa"/>
            </w:tcMar>
            <w:vAlign w:val="center"/>
          </w:tcPr>
          <w:p w14:paraId="595E93DF" w14:textId="77777777" w:rsidR="00DA209E" w:rsidRPr="0076502A" w:rsidRDefault="00DA209E" w:rsidP="00B53867">
            <w:pPr>
              <w:pStyle w:val="PolicyHeaderFill"/>
            </w:pPr>
          </w:p>
        </w:tc>
      </w:tr>
      <w:tr w:rsidR="00DA209E" w:rsidRPr="0076502A" w14:paraId="41935E1A" w14:textId="77777777">
        <w:trPr>
          <w:trHeight w:val="288"/>
        </w:trPr>
        <w:tc>
          <w:tcPr>
            <w:tcW w:w="624" w:type="pct"/>
            <w:vAlign w:val="center"/>
          </w:tcPr>
          <w:p w14:paraId="072C95B8" w14:textId="77777777" w:rsidR="00DA209E" w:rsidRPr="0076502A" w:rsidRDefault="00DA209E" w:rsidP="009246D3">
            <w:pPr>
              <w:pStyle w:val="FooterTableHeader"/>
              <w:rPr>
                <w:rFonts w:ascii="Times New Roman" w:hAnsi="Times New Roman"/>
                <w:sz w:val="22"/>
                <w:szCs w:val="22"/>
              </w:rPr>
            </w:pPr>
          </w:p>
        </w:tc>
        <w:tc>
          <w:tcPr>
            <w:tcW w:w="1540" w:type="pct"/>
            <w:vAlign w:val="center"/>
          </w:tcPr>
          <w:p w14:paraId="547872C8" w14:textId="77777777"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14:paraId="2BD852AD" w14:textId="77777777"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14:paraId="24E87F88" w14:textId="77777777" w:rsidR="00DA209E" w:rsidRPr="003C1B8C" w:rsidRDefault="00DA209E" w:rsidP="003C1B8C">
            <w:pPr>
              <w:pStyle w:val="PolicyHeaderFill"/>
            </w:pPr>
          </w:p>
        </w:tc>
        <w:tc>
          <w:tcPr>
            <w:tcW w:w="1202" w:type="pct"/>
            <w:tcMar>
              <w:top w:w="29" w:type="dxa"/>
              <w:left w:w="115" w:type="dxa"/>
              <w:bottom w:w="29" w:type="dxa"/>
              <w:right w:w="115" w:type="dxa"/>
            </w:tcMar>
            <w:vAlign w:val="center"/>
          </w:tcPr>
          <w:p w14:paraId="06713F3B" w14:textId="77777777" w:rsidR="00DA209E" w:rsidRPr="0076502A" w:rsidRDefault="00DA209E" w:rsidP="009246D3">
            <w:pPr>
              <w:pStyle w:val="FooterTableHeader"/>
              <w:rPr>
                <w:rFonts w:ascii="Times New Roman" w:hAnsi="Times New Roman"/>
                <w:sz w:val="22"/>
                <w:szCs w:val="22"/>
              </w:rPr>
            </w:pPr>
          </w:p>
        </w:tc>
      </w:tr>
    </w:tbl>
    <w:p w14:paraId="4D8DD09B" w14:textId="77777777" w:rsidR="002B50C6" w:rsidRDefault="002B50C6"/>
    <w:sectPr w:rsidR="002B50C6" w:rsidSect="00D13DA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92829" w14:textId="77777777" w:rsidR="00E20226" w:rsidRDefault="00E20226">
      <w:r>
        <w:separator/>
      </w:r>
    </w:p>
    <w:p w14:paraId="34F68383" w14:textId="77777777" w:rsidR="00E20226" w:rsidRDefault="00E20226"/>
  </w:endnote>
  <w:endnote w:type="continuationSeparator" w:id="0">
    <w:p w14:paraId="194D5930" w14:textId="77777777" w:rsidR="00E20226" w:rsidRDefault="00E20226">
      <w:r>
        <w:continuationSeparator/>
      </w:r>
    </w:p>
    <w:p w14:paraId="476344B4" w14:textId="77777777" w:rsidR="00E20226" w:rsidRDefault="00E202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36EAA" w14:textId="77777777" w:rsidR="003C1B8C" w:rsidRPr="00575A04" w:rsidRDefault="005F48C9" w:rsidP="00575A04">
    <w:pPr>
      <w:pStyle w:val="Footer"/>
    </w:pPr>
    <w:r>
      <w:t>Information Shield</w:t>
    </w:r>
    <w:r w:rsidR="0060005E">
      <w:t xml:space="preserve"> Security Policy</w:t>
    </w:r>
    <w:r w:rsidR="003C1B8C" w:rsidRPr="00575A04">
      <w:tab/>
      <w:t>CONFIDENTIAL</w:t>
    </w:r>
    <w:r w:rsidR="003C1B8C" w:rsidRPr="00575A04">
      <w:tab/>
    </w:r>
    <w:r w:rsidR="003C1B8C">
      <w:t xml:space="preserve">  </w:t>
    </w:r>
    <w:r w:rsidR="003C1B8C" w:rsidRPr="00575A04">
      <w:t xml:space="preserve">Page </w:t>
    </w:r>
    <w:r w:rsidR="00A61B23">
      <w:fldChar w:fldCharType="begin"/>
    </w:r>
    <w:r w:rsidR="00A61B23">
      <w:instrText xml:space="preserve"> PAGE </w:instrText>
    </w:r>
    <w:r w:rsidR="00A61B23">
      <w:fldChar w:fldCharType="separate"/>
    </w:r>
    <w:r w:rsidR="00AA2015">
      <w:rPr>
        <w:noProof/>
      </w:rPr>
      <w:t>1</w:t>
    </w:r>
    <w:r w:rsidR="00A61B23">
      <w:rPr>
        <w:noProof/>
      </w:rPr>
      <w:fldChar w:fldCharType="end"/>
    </w:r>
  </w:p>
  <w:p w14:paraId="25E95331" w14:textId="77777777"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2A58E" w14:textId="77777777" w:rsidR="00E20226" w:rsidRDefault="00E20226">
      <w:r>
        <w:separator/>
      </w:r>
    </w:p>
    <w:p w14:paraId="62E6040A" w14:textId="77777777" w:rsidR="00E20226" w:rsidRDefault="00E20226"/>
  </w:footnote>
  <w:footnote w:type="continuationSeparator" w:id="0">
    <w:p w14:paraId="07098AC0" w14:textId="77777777" w:rsidR="00E20226" w:rsidRDefault="00E20226">
      <w:r>
        <w:continuationSeparator/>
      </w:r>
    </w:p>
    <w:p w14:paraId="141C953C" w14:textId="77777777" w:rsidR="00E20226" w:rsidRDefault="00E2022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E55150"/>
    <w:multiLevelType w:val="hybridMultilevel"/>
    <w:tmpl w:val="6932F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3DA3"/>
    <w:rsid w:val="0000157F"/>
    <w:rsid w:val="00011129"/>
    <w:rsid w:val="0003608C"/>
    <w:rsid w:val="00051520"/>
    <w:rsid w:val="00074BA0"/>
    <w:rsid w:val="000831DB"/>
    <w:rsid w:val="00087738"/>
    <w:rsid w:val="000A6314"/>
    <w:rsid w:val="000C06AA"/>
    <w:rsid w:val="001072C4"/>
    <w:rsid w:val="00107EC2"/>
    <w:rsid w:val="001116EE"/>
    <w:rsid w:val="00143AFF"/>
    <w:rsid w:val="0016248C"/>
    <w:rsid w:val="0016703E"/>
    <w:rsid w:val="00177D9C"/>
    <w:rsid w:val="001A2106"/>
    <w:rsid w:val="001A5099"/>
    <w:rsid w:val="001B3246"/>
    <w:rsid w:val="001B556F"/>
    <w:rsid w:val="001E1517"/>
    <w:rsid w:val="001E29F7"/>
    <w:rsid w:val="001E5FFA"/>
    <w:rsid w:val="001F1048"/>
    <w:rsid w:val="001F7F51"/>
    <w:rsid w:val="00222770"/>
    <w:rsid w:val="00241935"/>
    <w:rsid w:val="00244229"/>
    <w:rsid w:val="00255B11"/>
    <w:rsid w:val="0025728D"/>
    <w:rsid w:val="00291101"/>
    <w:rsid w:val="0029313E"/>
    <w:rsid w:val="002A1334"/>
    <w:rsid w:val="002A7256"/>
    <w:rsid w:val="002B50C6"/>
    <w:rsid w:val="002F1612"/>
    <w:rsid w:val="00307C3B"/>
    <w:rsid w:val="003162F7"/>
    <w:rsid w:val="00323CE3"/>
    <w:rsid w:val="003345C8"/>
    <w:rsid w:val="00364588"/>
    <w:rsid w:val="00372751"/>
    <w:rsid w:val="00385F82"/>
    <w:rsid w:val="00397D8F"/>
    <w:rsid w:val="003B089F"/>
    <w:rsid w:val="003C1B8C"/>
    <w:rsid w:val="003D14BE"/>
    <w:rsid w:val="003E4794"/>
    <w:rsid w:val="003F09FA"/>
    <w:rsid w:val="00400FC8"/>
    <w:rsid w:val="00403E1E"/>
    <w:rsid w:val="004254C1"/>
    <w:rsid w:val="00451671"/>
    <w:rsid w:val="00481967"/>
    <w:rsid w:val="00491984"/>
    <w:rsid w:val="004D2353"/>
    <w:rsid w:val="004D37EB"/>
    <w:rsid w:val="004E3134"/>
    <w:rsid w:val="004F7469"/>
    <w:rsid w:val="0051524F"/>
    <w:rsid w:val="00555CFC"/>
    <w:rsid w:val="00565990"/>
    <w:rsid w:val="00565B97"/>
    <w:rsid w:val="00575A04"/>
    <w:rsid w:val="005A4B62"/>
    <w:rsid w:val="005B23C5"/>
    <w:rsid w:val="005D12B6"/>
    <w:rsid w:val="005D35BE"/>
    <w:rsid w:val="005D52B4"/>
    <w:rsid w:val="005F48C9"/>
    <w:rsid w:val="0060005E"/>
    <w:rsid w:val="006173D9"/>
    <w:rsid w:val="006200A9"/>
    <w:rsid w:val="0062107D"/>
    <w:rsid w:val="006510F6"/>
    <w:rsid w:val="00653F92"/>
    <w:rsid w:val="00673932"/>
    <w:rsid w:val="00684D1E"/>
    <w:rsid w:val="0068601F"/>
    <w:rsid w:val="006A7544"/>
    <w:rsid w:val="006C099D"/>
    <w:rsid w:val="007129D9"/>
    <w:rsid w:val="0071517A"/>
    <w:rsid w:val="00716FA0"/>
    <w:rsid w:val="0077342D"/>
    <w:rsid w:val="00775AB4"/>
    <w:rsid w:val="007844D5"/>
    <w:rsid w:val="007A5968"/>
    <w:rsid w:val="007D37A8"/>
    <w:rsid w:val="007F61A2"/>
    <w:rsid w:val="008063B7"/>
    <w:rsid w:val="00806E88"/>
    <w:rsid w:val="00813E16"/>
    <w:rsid w:val="00816505"/>
    <w:rsid w:val="008314F4"/>
    <w:rsid w:val="0085160B"/>
    <w:rsid w:val="00853487"/>
    <w:rsid w:val="0086465F"/>
    <w:rsid w:val="00897169"/>
    <w:rsid w:val="008C26E8"/>
    <w:rsid w:val="008E325A"/>
    <w:rsid w:val="00900BE2"/>
    <w:rsid w:val="00923C76"/>
    <w:rsid w:val="00924538"/>
    <w:rsid w:val="009246D3"/>
    <w:rsid w:val="0093202E"/>
    <w:rsid w:val="00941F95"/>
    <w:rsid w:val="00955117"/>
    <w:rsid w:val="00965518"/>
    <w:rsid w:val="00975083"/>
    <w:rsid w:val="009938EB"/>
    <w:rsid w:val="009A4764"/>
    <w:rsid w:val="009A6CDE"/>
    <w:rsid w:val="009D2C64"/>
    <w:rsid w:val="009F1103"/>
    <w:rsid w:val="00A1699B"/>
    <w:rsid w:val="00A32B57"/>
    <w:rsid w:val="00A33801"/>
    <w:rsid w:val="00A356BA"/>
    <w:rsid w:val="00A4341D"/>
    <w:rsid w:val="00A437C9"/>
    <w:rsid w:val="00A61B23"/>
    <w:rsid w:val="00A726A1"/>
    <w:rsid w:val="00AA2015"/>
    <w:rsid w:val="00AB5967"/>
    <w:rsid w:val="00AC0F82"/>
    <w:rsid w:val="00AD5BE0"/>
    <w:rsid w:val="00AF5689"/>
    <w:rsid w:val="00B36AF7"/>
    <w:rsid w:val="00B427DB"/>
    <w:rsid w:val="00B53867"/>
    <w:rsid w:val="00BA21BA"/>
    <w:rsid w:val="00BA7551"/>
    <w:rsid w:val="00BB7929"/>
    <w:rsid w:val="00BC6F34"/>
    <w:rsid w:val="00BF1A5F"/>
    <w:rsid w:val="00C3679D"/>
    <w:rsid w:val="00C51809"/>
    <w:rsid w:val="00C51C73"/>
    <w:rsid w:val="00C54544"/>
    <w:rsid w:val="00C64EAF"/>
    <w:rsid w:val="00C76D3B"/>
    <w:rsid w:val="00C80DA4"/>
    <w:rsid w:val="00CA01E1"/>
    <w:rsid w:val="00CD236D"/>
    <w:rsid w:val="00D13DA3"/>
    <w:rsid w:val="00D35111"/>
    <w:rsid w:val="00D673F9"/>
    <w:rsid w:val="00D83CD8"/>
    <w:rsid w:val="00D86AF2"/>
    <w:rsid w:val="00DA209E"/>
    <w:rsid w:val="00DC3FEF"/>
    <w:rsid w:val="00DE723F"/>
    <w:rsid w:val="00DF667F"/>
    <w:rsid w:val="00DF66EE"/>
    <w:rsid w:val="00E1776B"/>
    <w:rsid w:val="00E20226"/>
    <w:rsid w:val="00E364EF"/>
    <w:rsid w:val="00E408FB"/>
    <w:rsid w:val="00E474F5"/>
    <w:rsid w:val="00E81331"/>
    <w:rsid w:val="00EA5856"/>
    <w:rsid w:val="00EC5DB4"/>
    <w:rsid w:val="00ED268D"/>
    <w:rsid w:val="00EF734B"/>
    <w:rsid w:val="00F07EAE"/>
    <w:rsid w:val="00F51BD1"/>
    <w:rsid w:val="00F854CC"/>
    <w:rsid w:val="00F906B3"/>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42EAC"/>
  <w15:docId w15:val="{36E4C99E-5359-4EDF-8BAA-538A46E5B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DF66EE"/>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5B23C5"/>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NormalIndent">
    <w:name w:val="Normal Indent"/>
    <w:basedOn w:val="Normal"/>
    <w:rsid w:val="00900BE2"/>
    <w:pPr>
      <w:widowControl w:val="0"/>
      <w:ind w:left="360"/>
    </w:pPr>
    <w:rPr>
      <w:szCs w:val="20"/>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link w:val="PolicyBodyText"/>
    <w:rsid w:val="00C64EAF"/>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C799E3-3EBC-4EDE-9FC0-08472F91A901}">
  <ds:schemaRefs>
    <ds:schemaRef ds:uri="http://schemas.microsoft.com/office/2006/metadata/properties"/>
    <ds:schemaRef ds:uri="http://schemas.microsoft.com/office/infopath/2007/PartnerControls"/>
    <ds:schemaRef ds:uri="b4574519-0d7b-4de4-a7b2-1a056064d4a2"/>
  </ds:schemaRefs>
</ds:datastoreItem>
</file>

<file path=customXml/itemProps2.xml><?xml version="1.0" encoding="utf-8"?>
<ds:datastoreItem xmlns:ds="http://schemas.openxmlformats.org/officeDocument/2006/customXml" ds:itemID="{526FED7E-1A4B-4CE3-808C-E6429FA87CB0}">
  <ds:schemaRefs>
    <ds:schemaRef ds:uri="http://schemas.microsoft.com/sharepoint/v3/contenttype/forms"/>
  </ds:schemaRefs>
</ds:datastoreItem>
</file>

<file path=customXml/itemProps3.xml><?xml version="1.0" encoding="utf-8"?>
<ds:datastoreItem xmlns:ds="http://schemas.openxmlformats.org/officeDocument/2006/customXml" ds:itemID="{C4704CB2-E1E0-4A5B-98AA-3D80570E0DEB}">
  <ds:schemaRefs>
    <ds:schemaRef ds:uri="http://schemas.openxmlformats.org/officeDocument/2006/bibliography"/>
  </ds:schemaRefs>
</ds:datastoreItem>
</file>

<file path=customXml/itemProps4.xml><?xml version="1.0" encoding="utf-8"?>
<ds:datastoreItem xmlns:ds="http://schemas.openxmlformats.org/officeDocument/2006/customXml" ds:itemID="{DB68C85C-653C-4268-98C8-C76A5959F13C}"/>
</file>

<file path=docProps/app.xml><?xml version="1.0" encoding="utf-8"?>
<Properties xmlns="http://schemas.openxmlformats.org/officeDocument/2006/extended-properties" xmlns:vt="http://schemas.openxmlformats.org/officeDocument/2006/docPropsVTypes">
  <Template>Normal</Template>
  <TotalTime>4</TotalTime>
  <Pages>6</Pages>
  <Words>2110</Words>
  <Characters>12032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Hayden</dc:creator>
  <cp:lastModifiedBy>Scott M Parramore</cp:lastModifiedBy>
  <cp:revision>7</cp:revision>
  <dcterms:created xsi:type="dcterms:W3CDTF">2016-08-02T21:09:00Z</dcterms:created>
  <dcterms:modified xsi:type="dcterms:W3CDTF">2021-07-01T17:50:00Z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