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7"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50"/>
        <w:gridCol w:w="1217"/>
        <w:gridCol w:w="1706"/>
        <w:gridCol w:w="1976"/>
        <w:gridCol w:w="825"/>
        <w:gridCol w:w="2702"/>
      </w:tblGrid>
      <w:tr w:rsidR="00D13DA3" w:rsidTr="00373D4F">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373D4F">
        <w:tc>
          <w:tcPr>
            <w:tcW w:w="5000" w:type="pct"/>
            <w:gridSpan w:val="6"/>
            <w:tcBorders>
              <w:top w:val="nil"/>
              <w:bottom w:val="nil"/>
            </w:tcBorders>
            <w:shd w:val="clear" w:color="auto" w:fill="CCCCCC"/>
          </w:tcPr>
          <w:p w:rsidR="00D13DA3" w:rsidRPr="00FF6728" w:rsidRDefault="0031082D" w:rsidP="007129D9">
            <w:pPr>
              <w:pStyle w:val="policytitle"/>
            </w:pPr>
            <w:r w:rsidRPr="00087738">
              <w:t xml:space="preserve">Personnel </w:t>
            </w:r>
            <w:r>
              <w:t xml:space="preserve">Security </w:t>
            </w:r>
            <w:r w:rsidRPr="00087738">
              <w:t>Management Policy</w:t>
            </w:r>
          </w:p>
        </w:tc>
      </w:tr>
      <w:tr w:rsidR="00472113" w:rsidTr="00373D4F">
        <w:tc>
          <w:tcPr>
            <w:tcW w:w="600" w:type="pct"/>
            <w:tcBorders>
              <w:top w:val="nil"/>
            </w:tcBorders>
            <w:shd w:val="clear" w:color="auto" w:fill="auto"/>
            <w:tcMar>
              <w:top w:w="29" w:type="dxa"/>
              <w:left w:w="115" w:type="dxa"/>
              <w:bottom w:w="29" w:type="dxa"/>
              <w:right w:w="115" w:type="dxa"/>
            </w:tcMar>
          </w:tcPr>
          <w:p w:rsidR="00472113" w:rsidRDefault="00472113" w:rsidP="002B50C6">
            <w:pPr>
              <w:pStyle w:val="PolicyHeaderLabel"/>
            </w:pPr>
            <w:r>
              <w:t>Policy #</w:t>
            </w:r>
          </w:p>
        </w:tc>
        <w:tc>
          <w:tcPr>
            <w:tcW w:w="635" w:type="pct"/>
            <w:tcBorders>
              <w:top w:val="nil"/>
            </w:tcBorders>
            <w:shd w:val="clear" w:color="auto" w:fill="auto"/>
            <w:tcMar>
              <w:top w:w="29" w:type="dxa"/>
              <w:left w:w="115" w:type="dxa"/>
              <w:bottom w:w="29" w:type="dxa"/>
              <w:right w:w="115" w:type="dxa"/>
            </w:tcMar>
          </w:tcPr>
          <w:p w:rsidR="00472113" w:rsidRDefault="00557B29" w:rsidP="00074BA0">
            <w:pPr>
              <w:pStyle w:val="PolicyHeaderFill"/>
            </w:pPr>
            <w:r>
              <w:t>CPL</w:t>
            </w:r>
            <w:r w:rsidR="00472113">
              <w:t>-0</w:t>
            </w:r>
            <w:r>
              <w:t>7</w:t>
            </w:r>
          </w:p>
        </w:tc>
        <w:tc>
          <w:tcPr>
            <w:tcW w:w="891" w:type="pct"/>
            <w:tcBorders>
              <w:top w:val="nil"/>
            </w:tcBorders>
            <w:shd w:val="clear" w:color="auto" w:fill="auto"/>
            <w:tcMar>
              <w:top w:w="29" w:type="dxa"/>
              <w:left w:w="115" w:type="dxa"/>
              <w:bottom w:w="29" w:type="dxa"/>
              <w:right w:w="115" w:type="dxa"/>
            </w:tcMar>
          </w:tcPr>
          <w:p w:rsidR="00472113" w:rsidRDefault="00472113" w:rsidP="002B50C6">
            <w:pPr>
              <w:pStyle w:val="PolicyHeaderLabel"/>
            </w:pPr>
            <w:r>
              <w:t>Effective Date</w:t>
            </w:r>
          </w:p>
        </w:tc>
        <w:tc>
          <w:tcPr>
            <w:tcW w:w="1032" w:type="pct"/>
            <w:tcBorders>
              <w:top w:val="nil"/>
            </w:tcBorders>
            <w:shd w:val="clear" w:color="auto" w:fill="auto"/>
            <w:tcMar>
              <w:top w:w="29" w:type="dxa"/>
              <w:left w:w="115" w:type="dxa"/>
              <w:bottom w:w="29" w:type="dxa"/>
              <w:right w:w="115" w:type="dxa"/>
            </w:tcMar>
          </w:tcPr>
          <w:p w:rsidR="00472113" w:rsidRPr="00C8024C" w:rsidRDefault="00BC43D0" w:rsidP="00F00F60">
            <w:pPr>
              <w:pStyle w:val="PolicyHeaderFill"/>
            </w:pPr>
            <w:r>
              <w:t>MM/DD/YYYY</w:t>
            </w:r>
          </w:p>
        </w:tc>
        <w:tc>
          <w:tcPr>
            <w:tcW w:w="431" w:type="pct"/>
            <w:tcBorders>
              <w:top w:val="nil"/>
            </w:tcBorders>
            <w:shd w:val="clear" w:color="auto" w:fill="auto"/>
            <w:tcMar>
              <w:top w:w="29" w:type="dxa"/>
              <w:left w:w="115" w:type="dxa"/>
              <w:bottom w:w="29" w:type="dxa"/>
              <w:right w:w="115" w:type="dxa"/>
            </w:tcMar>
          </w:tcPr>
          <w:p w:rsidR="00472113" w:rsidRPr="00C8024C" w:rsidRDefault="00472113" w:rsidP="00F00F60">
            <w:pPr>
              <w:pStyle w:val="PolicyHeaderLabel"/>
            </w:pPr>
            <w:r w:rsidRPr="00C8024C">
              <w:t>Email</w:t>
            </w:r>
          </w:p>
        </w:tc>
        <w:tc>
          <w:tcPr>
            <w:tcW w:w="1411" w:type="pct"/>
            <w:tcBorders>
              <w:top w:val="nil"/>
            </w:tcBorders>
            <w:shd w:val="clear" w:color="auto" w:fill="auto"/>
            <w:tcMar>
              <w:top w:w="29" w:type="dxa"/>
              <w:left w:w="115" w:type="dxa"/>
              <w:bottom w:w="29" w:type="dxa"/>
              <w:right w:w="115" w:type="dxa"/>
            </w:tcMar>
          </w:tcPr>
          <w:p w:rsidR="00472113" w:rsidRPr="00C8024C" w:rsidRDefault="00472113" w:rsidP="00F00F60">
            <w:pPr>
              <w:pStyle w:val="PolicyHeaderFill"/>
            </w:pPr>
            <w:r w:rsidRPr="00C8024C">
              <w:t>policy@companyx.com</w:t>
            </w:r>
          </w:p>
        </w:tc>
      </w:tr>
      <w:tr w:rsidR="00472113" w:rsidTr="00373D4F">
        <w:tc>
          <w:tcPr>
            <w:tcW w:w="600" w:type="pct"/>
            <w:shd w:val="clear" w:color="auto" w:fill="auto"/>
            <w:tcMar>
              <w:top w:w="29" w:type="dxa"/>
              <w:left w:w="115" w:type="dxa"/>
              <w:bottom w:w="29" w:type="dxa"/>
              <w:right w:w="115" w:type="dxa"/>
            </w:tcMar>
          </w:tcPr>
          <w:p w:rsidR="00472113" w:rsidRDefault="00472113" w:rsidP="002B50C6">
            <w:pPr>
              <w:pStyle w:val="PolicyHeaderLabel"/>
            </w:pPr>
            <w:r>
              <w:t>Version</w:t>
            </w:r>
          </w:p>
        </w:tc>
        <w:tc>
          <w:tcPr>
            <w:tcW w:w="635" w:type="pct"/>
            <w:shd w:val="clear" w:color="auto" w:fill="auto"/>
            <w:tcMar>
              <w:top w:w="29" w:type="dxa"/>
              <w:left w:w="115" w:type="dxa"/>
              <w:bottom w:w="29" w:type="dxa"/>
              <w:right w:w="115" w:type="dxa"/>
            </w:tcMar>
          </w:tcPr>
          <w:p w:rsidR="00472113" w:rsidRDefault="00472113" w:rsidP="002B50C6">
            <w:pPr>
              <w:pStyle w:val="PolicyHeaderFill"/>
            </w:pPr>
            <w:r>
              <w:t>1.0</w:t>
            </w:r>
          </w:p>
        </w:tc>
        <w:tc>
          <w:tcPr>
            <w:tcW w:w="891" w:type="pct"/>
            <w:shd w:val="clear" w:color="auto" w:fill="auto"/>
            <w:tcMar>
              <w:top w:w="29" w:type="dxa"/>
              <w:left w:w="115" w:type="dxa"/>
              <w:bottom w:w="29" w:type="dxa"/>
              <w:right w:w="115" w:type="dxa"/>
            </w:tcMar>
          </w:tcPr>
          <w:p w:rsidR="00472113" w:rsidRDefault="00472113" w:rsidP="002B50C6">
            <w:pPr>
              <w:pStyle w:val="PolicyHeaderLabel"/>
            </w:pPr>
            <w:r>
              <w:t xml:space="preserve">Contact </w:t>
            </w:r>
          </w:p>
        </w:tc>
        <w:tc>
          <w:tcPr>
            <w:tcW w:w="1032" w:type="pct"/>
            <w:shd w:val="clear" w:color="auto" w:fill="auto"/>
            <w:tcMar>
              <w:top w:w="29" w:type="dxa"/>
              <w:left w:w="115" w:type="dxa"/>
              <w:bottom w:w="29" w:type="dxa"/>
              <w:right w:w="115" w:type="dxa"/>
            </w:tcMar>
          </w:tcPr>
          <w:p w:rsidR="00472113" w:rsidRPr="00C8024C" w:rsidRDefault="00472113" w:rsidP="00F00F60">
            <w:pPr>
              <w:pStyle w:val="PolicyHeaderFill"/>
            </w:pPr>
            <w:r w:rsidRPr="00C8024C">
              <w:t>Policy Contact</w:t>
            </w:r>
          </w:p>
        </w:tc>
        <w:tc>
          <w:tcPr>
            <w:tcW w:w="431" w:type="pct"/>
            <w:shd w:val="clear" w:color="auto" w:fill="auto"/>
            <w:tcMar>
              <w:top w:w="29" w:type="dxa"/>
              <w:left w:w="115" w:type="dxa"/>
              <w:bottom w:w="29" w:type="dxa"/>
              <w:right w:w="115" w:type="dxa"/>
            </w:tcMar>
          </w:tcPr>
          <w:p w:rsidR="00472113" w:rsidRPr="00C8024C" w:rsidRDefault="00472113" w:rsidP="00F00F60">
            <w:pPr>
              <w:pStyle w:val="PolicyHeaderLabel"/>
            </w:pPr>
            <w:r w:rsidRPr="00C8024C">
              <w:t>Phone</w:t>
            </w:r>
          </w:p>
        </w:tc>
        <w:tc>
          <w:tcPr>
            <w:tcW w:w="1411" w:type="pct"/>
            <w:shd w:val="clear" w:color="auto" w:fill="auto"/>
            <w:tcMar>
              <w:top w:w="29" w:type="dxa"/>
              <w:left w:w="115" w:type="dxa"/>
              <w:bottom w:w="29" w:type="dxa"/>
              <w:right w:w="115" w:type="dxa"/>
            </w:tcMar>
          </w:tcPr>
          <w:p w:rsidR="00472113" w:rsidRPr="00C8024C" w:rsidRDefault="00A01174" w:rsidP="00F00F60">
            <w:pPr>
              <w:pStyle w:val="PolicyHeaderFill"/>
            </w:pPr>
            <w:r>
              <w:t>888-641-</w:t>
            </w:r>
            <w:r w:rsidR="00472113" w:rsidRPr="00C8024C">
              <w:t>0500</w:t>
            </w:r>
          </w:p>
        </w:tc>
      </w:tr>
    </w:tbl>
    <w:p w:rsidR="00BE0652" w:rsidRDefault="00BE0652" w:rsidP="00C91FBB">
      <w:pPr>
        <w:pStyle w:val="TOC1"/>
        <w:spacing w:before="120" w:after="120"/>
        <w:rPr>
          <w:b/>
          <w:bCs/>
          <w:color w:val="00527A"/>
          <w:sz w:val="24"/>
        </w:rPr>
      </w:pPr>
    </w:p>
    <w:p w:rsidR="00DD0B04" w:rsidRPr="00C91FBB" w:rsidRDefault="00DD0B04" w:rsidP="00C91FBB">
      <w:pPr>
        <w:pStyle w:val="TOC1"/>
        <w:spacing w:before="120" w:after="120"/>
        <w:rPr>
          <w:b/>
          <w:bCs/>
          <w:color w:val="00527A"/>
          <w:sz w:val="24"/>
        </w:rPr>
      </w:pPr>
      <w:bookmarkStart w:id="0" w:name="_GoBack"/>
      <w:bookmarkEnd w:id="0"/>
      <w:r w:rsidRPr="00C91FBB">
        <w:rPr>
          <w:b/>
          <w:bCs/>
          <w:color w:val="00527A"/>
          <w:sz w:val="24"/>
        </w:rPr>
        <w:t>Table of Content</w:t>
      </w:r>
    </w:p>
    <w:p w:rsidR="00472113" w:rsidRPr="005E37B9" w:rsidRDefault="0056414F">
      <w:pPr>
        <w:pStyle w:val="TOC1"/>
        <w:rPr>
          <w:rFonts w:ascii="Calibri" w:hAnsi="Calibri"/>
          <w:noProof/>
          <w:szCs w:val="22"/>
          <w:lang w:val="en-CA" w:eastAsia="en-CA"/>
        </w:rPr>
      </w:pPr>
      <w:r>
        <w:fldChar w:fldCharType="begin"/>
      </w:r>
      <w:r w:rsidR="00C91FBB">
        <w:instrText xml:space="preserve"> TOC \o "1-1" \h \z \u \t "Heading 3,2" </w:instrText>
      </w:r>
      <w:r>
        <w:fldChar w:fldCharType="separate"/>
      </w:r>
      <w:hyperlink w:anchor="_Toc442134102" w:history="1">
        <w:r w:rsidR="00472113" w:rsidRPr="00BA125F">
          <w:rPr>
            <w:rStyle w:val="Hyperlink"/>
            <w:bCs/>
            <w:noProof/>
          </w:rPr>
          <w:t>Purpose</w:t>
        </w:r>
        <w:r w:rsidR="00472113">
          <w:rPr>
            <w:noProof/>
            <w:webHidden/>
          </w:rPr>
          <w:tab/>
        </w:r>
        <w:r w:rsidR="00472113">
          <w:rPr>
            <w:noProof/>
            <w:webHidden/>
          </w:rPr>
          <w:fldChar w:fldCharType="begin"/>
        </w:r>
        <w:r w:rsidR="00472113">
          <w:rPr>
            <w:noProof/>
            <w:webHidden/>
          </w:rPr>
          <w:instrText xml:space="preserve"> PAGEREF _Toc442134102 \h </w:instrText>
        </w:r>
        <w:r w:rsidR="00472113">
          <w:rPr>
            <w:noProof/>
            <w:webHidden/>
          </w:rPr>
        </w:r>
        <w:r w:rsidR="00472113">
          <w:rPr>
            <w:noProof/>
            <w:webHidden/>
          </w:rPr>
          <w:fldChar w:fldCharType="separate"/>
        </w:r>
        <w:r w:rsidR="00557B29">
          <w:rPr>
            <w:noProof/>
            <w:webHidden/>
          </w:rPr>
          <w:t>1</w:t>
        </w:r>
        <w:r w:rsidR="00472113">
          <w:rPr>
            <w:noProof/>
            <w:webHidden/>
          </w:rPr>
          <w:fldChar w:fldCharType="end"/>
        </w:r>
      </w:hyperlink>
    </w:p>
    <w:p w:rsidR="00472113" w:rsidRPr="005E37B9" w:rsidRDefault="001201BA">
      <w:pPr>
        <w:pStyle w:val="TOC1"/>
        <w:rPr>
          <w:rFonts w:ascii="Calibri" w:hAnsi="Calibri"/>
          <w:noProof/>
          <w:szCs w:val="22"/>
          <w:lang w:val="en-CA" w:eastAsia="en-CA"/>
        </w:rPr>
      </w:pPr>
      <w:hyperlink w:anchor="_Toc442134103" w:history="1">
        <w:r w:rsidR="00472113" w:rsidRPr="00BA125F">
          <w:rPr>
            <w:rStyle w:val="Hyperlink"/>
            <w:bCs/>
            <w:noProof/>
          </w:rPr>
          <w:t>Scope</w:t>
        </w:r>
        <w:r w:rsidR="00472113">
          <w:rPr>
            <w:noProof/>
            <w:webHidden/>
          </w:rPr>
          <w:tab/>
        </w:r>
        <w:r w:rsidR="00472113">
          <w:rPr>
            <w:noProof/>
            <w:webHidden/>
          </w:rPr>
          <w:fldChar w:fldCharType="begin"/>
        </w:r>
        <w:r w:rsidR="00472113">
          <w:rPr>
            <w:noProof/>
            <w:webHidden/>
          </w:rPr>
          <w:instrText xml:space="preserve"> PAGEREF _Toc442134103 \h </w:instrText>
        </w:r>
        <w:r w:rsidR="00472113">
          <w:rPr>
            <w:noProof/>
            <w:webHidden/>
          </w:rPr>
        </w:r>
        <w:r w:rsidR="00472113">
          <w:rPr>
            <w:noProof/>
            <w:webHidden/>
          </w:rPr>
          <w:fldChar w:fldCharType="separate"/>
        </w:r>
        <w:r w:rsidR="00557B29">
          <w:rPr>
            <w:noProof/>
            <w:webHidden/>
          </w:rPr>
          <w:t>1</w:t>
        </w:r>
        <w:r w:rsidR="00472113">
          <w:rPr>
            <w:noProof/>
            <w:webHidden/>
          </w:rPr>
          <w:fldChar w:fldCharType="end"/>
        </w:r>
      </w:hyperlink>
    </w:p>
    <w:p w:rsidR="00472113" w:rsidRPr="005E37B9" w:rsidRDefault="001201BA">
      <w:pPr>
        <w:pStyle w:val="TOC1"/>
        <w:rPr>
          <w:rFonts w:ascii="Calibri" w:hAnsi="Calibri"/>
          <w:noProof/>
          <w:szCs w:val="22"/>
          <w:lang w:val="en-CA" w:eastAsia="en-CA"/>
        </w:rPr>
      </w:pPr>
      <w:hyperlink w:anchor="_Toc442134104" w:history="1">
        <w:r w:rsidR="00472113" w:rsidRPr="00BA125F">
          <w:rPr>
            <w:rStyle w:val="Hyperlink"/>
            <w:bCs/>
            <w:noProof/>
          </w:rPr>
          <w:t>Policy</w:t>
        </w:r>
        <w:r w:rsidR="00472113">
          <w:rPr>
            <w:noProof/>
            <w:webHidden/>
          </w:rPr>
          <w:tab/>
        </w:r>
        <w:r w:rsidR="00472113">
          <w:rPr>
            <w:noProof/>
            <w:webHidden/>
          </w:rPr>
          <w:fldChar w:fldCharType="begin"/>
        </w:r>
        <w:r w:rsidR="00472113">
          <w:rPr>
            <w:noProof/>
            <w:webHidden/>
          </w:rPr>
          <w:instrText xml:space="preserve"> PAGEREF _Toc442134104 \h </w:instrText>
        </w:r>
        <w:r w:rsidR="00472113">
          <w:rPr>
            <w:noProof/>
            <w:webHidden/>
          </w:rPr>
        </w:r>
        <w:r w:rsidR="00472113">
          <w:rPr>
            <w:noProof/>
            <w:webHidden/>
          </w:rPr>
          <w:fldChar w:fldCharType="separate"/>
        </w:r>
        <w:r w:rsidR="00557B29">
          <w:rPr>
            <w:noProof/>
            <w:webHidden/>
          </w:rPr>
          <w:t>1</w:t>
        </w:r>
        <w:r w:rsidR="00472113">
          <w:rPr>
            <w:noProof/>
            <w:webHidden/>
          </w:rPr>
          <w:fldChar w:fldCharType="end"/>
        </w:r>
      </w:hyperlink>
    </w:p>
    <w:p w:rsidR="00472113" w:rsidRPr="005E37B9" w:rsidRDefault="001201BA">
      <w:pPr>
        <w:pStyle w:val="TOC2"/>
        <w:tabs>
          <w:tab w:val="right" w:leader="dot" w:pos="9350"/>
        </w:tabs>
        <w:rPr>
          <w:rFonts w:ascii="Calibri" w:hAnsi="Calibri"/>
          <w:noProof/>
          <w:szCs w:val="22"/>
          <w:lang w:val="en-CA" w:eastAsia="en-CA"/>
        </w:rPr>
      </w:pPr>
      <w:hyperlink w:anchor="_Toc442134105" w:history="1">
        <w:r w:rsidR="00472113" w:rsidRPr="00BA125F">
          <w:rPr>
            <w:rStyle w:val="Hyperlink"/>
            <w:noProof/>
          </w:rPr>
          <w:t>Roles and Responsibilities</w:t>
        </w:r>
        <w:r w:rsidR="00472113">
          <w:rPr>
            <w:noProof/>
            <w:webHidden/>
          </w:rPr>
          <w:tab/>
        </w:r>
        <w:r w:rsidR="00472113">
          <w:rPr>
            <w:noProof/>
            <w:webHidden/>
          </w:rPr>
          <w:fldChar w:fldCharType="begin"/>
        </w:r>
        <w:r w:rsidR="00472113">
          <w:rPr>
            <w:noProof/>
            <w:webHidden/>
          </w:rPr>
          <w:instrText xml:space="preserve"> PAGEREF _Toc442134105 \h </w:instrText>
        </w:r>
        <w:r w:rsidR="00472113">
          <w:rPr>
            <w:noProof/>
            <w:webHidden/>
          </w:rPr>
        </w:r>
        <w:r w:rsidR="00472113">
          <w:rPr>
            <w:noProof/>
            <w:webHidden/>
          </w:rPr>
          <w:fldChar w:fldCharType="separate"/>
        </w:r>
        <w:r w:rsidR="00557B29">
          <w:rPr>
            <w:noProof/>
            <w:webHidden/>
          </w:rPr>
          <w:t>1</w:t>
        </w:r>
        <w:r w:rsidR="00472113">
          <w:rPr>
            <w:noProof/>
            <w:webHidden/>
          </w:rPr>
          <w:fldChar w:fldCharType="end"/>
        </w:r>
      </w:hyperlink>
    </w:p>
    <w:p w:rsidR="00472113" w:rsidRPr="005E37B9" w:rsidRDefault="001201BA">
      <w:pPr>
        <w:pStyle w:val="TOC2"/>
        <w:tabs>
          <w:tab w:val="right" w:leader="dot" w:pos="9350"/>
        </w:tabs>
        <w:rPr>
          <w:rFonts w:ascii="Calibri" w:hAnsi="Calibri"/>
          <w:noProof/>
          <w:szCs w:val="22"/>
          <w:lang w:val="en-CA" w:eastAsia="en-CA"/>
        </w:rPr>
      </w:pPr>
      <w:hyperlink w:anchor="_Toc442134106" w:history="1">
        <w:r w:rsidR="00472113" w:rsidRPr="00BA125F">
          <w:rPr>
            <w:rStyle w:val="Hyperlink"/>
            <w:noProof/>
          </w:rPr>
          <w:t>Pre-Employment Screening</w:t>
        </w:r>
        <w:r w:rsidR="00472113">
          <w:rPr>
            <w:noProof/>
            <w:webHidden/>
          </w:rPr>
          <w:tab/>
        </w:r>
        <w:r w:rsidR="00472113">
          <w:rPr>
            <w:noProof/>
            <w:webHidden/>
          </w:rPr>
          <w:fldChar w:fldCharType="begin"/>
        </w:r>
        <w:r w:rsidR="00472113">
          <w:rPr>
            <w:noProof/>
            <w:webHidden/>
          </w:rPr>
          <w:instrText xml:space="preserve"> PAGEREF _Toc442134106 \h </w:instrText>
        </w:r>
        <w:r w:rsidR="00472113">
          <w:rPr>
            <w:noProof/>
            <w:webHidden/>
          </w:rPr>
        </w:r>
        <w:r w:rsidR="00472113">
          <w:rPr>
            <w:noProof/>
            <w:webHidden/>
          </w:rPr>
          <w:fldChar w:fldCharType="separate"/>
        </w:r>
        <w:r w:rsidR="00557B29">
          <w:rPr>
            <w:noProof/>
            <w:webHidden/>
          </w:rPr>
          <w:t>1</w:t>
        </w:r>
        <w:r w:rsidR="00472113">
          <w:rPr>
            <w:noProof/>
            <w:webHidden/>
          </w:rPr>
          <w:fldChar w:fldCharType="end"/>
        </w:r>
      </w:hyperlink>
    </w:p>
    <w:p w:rsidR="00472113" w:rsidRPr="005E37B9" w:rsidRDefault="001201BA">
      <w:pPr>
        <w:pStyle w:val="TOC2"/>
        <w:tabs>
          <w:tab w:val="right" w:leader="dot" w:pos="9350"/>
        </w:tabs>
        <w:rPr>
          <w:rFonts w:ascii="Calibri" w:hAnsi="Calibri"/>
          <w:noProof/>
          <w:szCs w:val="22"/>
          <w:lang w:val="en-CA" w:eastAsia="en-CA"/>
        </w:rPr>
      </w:pPr>
      <w:hyperlink w:anchor="_Toc442134107" w:history="1">
        <w:r w:rsidR="00472113" w:rsidRPr="00BA125F">
          <w:rPr>
            <w:rStyle w:val="Hyperlink"/>
            <w:noProof/>
          </w:rPr>
          <w:t>Terms and Conditions of Employment</w:t>
        </w:r>
        <w:r w:rsidR="00472113">
          <w:rPr>
            <w:noProof/>
            <w:webHidden/>
          </w:rPr>
          <w:tab/>
        </w:r>
        <w:r w:rsidR="00472113">
          <w:rPr>
            <w:noProof/>
            <w:webHidden/>
          </w:rPr>
          <w:fldChar w:fldCharType="begin"/>
        </w:r>
        <w:r w:rsidR="00472113">
          <w:rPr>
            <w:noProof/>
            <w:webHidden/>
          </w:rPr>
          <w:instrText xml:space="preserve"> PAGEREF _Toc442134107 \h </w:instrText>
        </w:r>
        <w:r w:rsidR="00472113">
          <w:rPr>
            <w:noProof/>
            <w:webHidden/>
          </w:rPr>
        </w:r>
        <w:r w:rsidR="00472113">
          <w:rPr>
            <w:noProof/>
            <w:webHidden/>
          </w:rPr>
          <w:fldChar w:fldCharType="separate"/>
        </w:r>
        <w:r w:rsidR="00557B29">
          <w:rPr>
            <w:noProof/>
            <w:webHidden/>
          </w:rPr>
          <w:t>2</w:t>
        </w:r>
        <w:r w:rsidR="00472113">
          <w:rPr>
            <w:noProof/>
            <w:webHidden/>
          </w:rPr>
          <w:fldChar w:fldCharType="end"/>
        </w:r>
      </w:hyperlink>
    </w:p>
    <w:p w:rsidR="00472113" w:rsidRPr="005E37B9" w:rsidRDefault="001201BA">
      <w:pPr>
        <w:pStyle w:val="TOC2"/>
        <w:tabs>
          <w:tab w:val="right" w:leader="dot" w:pos="9350"/>
        </w:tabs>
        <w:rPr>
          <w:rFonts w:ascii="Calibri" w:hAnsi="Calibri"/>
          <w:noProof/>
          <w:szCs w:val="22"/>
          <w:lang w:val="en-CA" w:eastAsia="en-CA"/>
        </w:rPr>
      </w:pPr>
      <w:hyperlink w:anchor="_Toc442134108" w:history="1">
        <w:r w:rsidR="00472113" w:rsidRPr="00BA125F">
          <w:rPr>
            <w:rStyle w:val="Hyperlink"/>
            <w:noProof/>
          </w:rPr>
          <w:t>Security Awareness and Training</w:t>
        </w:r>
        <w:r w:rsidR="00472113">
          <w:rPr>
            <w:noProof/>
            <w:webHidden/>
          </w:rPr>
          <w:tab/>
        </w:r>
        <w:r w:rsidR="00472113">
          <w:rPr>
            <w:noProof/>
            <w:webHidden/>
          </w:rPr>
          <w:fldChar w:fldCharType="begin"/>
        </w:r>
        <w:r w:rsidR="00472113">
          <w:rPr>
            <w:noProof/>
            <w:webHidden/>
          </w:rPr>
          <w:instrText xml:space="preserve"> PAGEREF _Toc442134108 \h </w:instrText>
        </w:r>
        <w:r w:rsidR="00472113">
          <w:rPr>
            <w:noProof/>
            <w:webHidden/>
          </w:rPr>
        </w:r>
        <w:r w:rsidR="00472113">
          <w:rPr>
            <w:noProof/>
            <w:webHidden/>
          </w:rPr>
          <w:fldChar w:fldCharType="separate"/>
        </w:r>
        <w:r w:rsidR="00557B29">
          <w:rPr>
            <w:noProof/>
            <w:webHidden/>
          </w:rPr>
          <w:t>2</w:t>
        </w:r>
        <w:r w:rsidR="00472113">
          <w:rPr>
            <w:noProof/>
            <w:webHidden/>
          </w:rPr>
          <w:fldChar w:fldCharType="end"/>
        </w:r>
      </w:hyperlink>
    </w:p>
    <w:p w:rsidR="00472113" w:rsidRPr="005E37B9" w:rsidRDefault="001201BA">
      <w:pPr>
        <w:pStyle w:val="TOC2"/>
        <w:tabs>
          <w:tab w:val="right" w:leader="dot" w:pos="9350"/>
        </w:tabs>
        <w:rPr>
          <w:rFonts w:ascii="Calibri" w:hAnsi="Calibri"/>
          <w:noProof/>
          <w:szCs w:val="22"/>
          <w:lang w:val="en-CA" w:eastAsia="en-CA"/>
        </w:rPr>
      </w:pPr>
      <w:hyperlink w:anchor="_Toc442134109" w:history="1">
        <w:r w:rsidR="00472113" w:rsidRPr="00BA125F">
          <w:rPr>
            <w:rStyle w:val="Hyperlink"/>
            <w:noProof/>
          </w:rPr>
          <w:t>Personnel Transfers and Changes</w:t>
        </w:r>
        <w:r w:rsidR="00472113">
          <w:rPr>
            <w:noProof/>
            <w:webHidden/>
          </w:rPr>
          <w:tab/>
        </w:r>
        <w:r w:rsidR="00472113">
          <w:rPr>
            <w:noProof/>
            <w:webHidden/>
          </w:rPr>
          <w:fldChar w:fldCharType="begin"/>
        </w:r>
        <w:r w:rsidR="00472113">
          <w:rPr>
            <w:noProof/>
            <w:webHidden/>
          </w:rPr>
          <w:instrText xml:space="preserve"> PAGEREF _Toc442134109 \h </w:instrText>
        </w:r>
        <w:r w:rsidR="00472113">
          <w:rPr>
            <w:noProof/>
            <w:webHidden/>
          </w:rPr>
        </w:r>
        <w:r w:rsidR="00472113">
          <w:rPr>
            <w:noProof/>
            <w:webHidden/>
          </w:rPr>
          <w:fldChar w:fldCharType="separate"/>
        </w:r>
        <w:r w:rsidR="00557B29">
          <w:rPr>
            <w:noProof/>
            <w:webHidden/>
          </w:rPr>
          <w:t>2</w:t>
        </w:r>
        <w:r w:rsidR="00472113">
          <w:rPr>
            <w:noProof/>
            <w:webHidden/>
          </w:rPr>
          <w:fldChar w:fldCharType="end"/>
        </w:r>
      </w:hyperlink>
    </w:p>
    <w:p w:rsidR="00472113" w:rsidRPr="005E37B9" w:rsidRDefault="001201BA">
      <w:pPr>
        <w:pStyle w:val="TOC2"/>
        <w:tabs>
          <w:tab w:val="right" w:leader="dot" w:pos="9350"/>
        </w:tabs>
        <w:rPr>
          <w:rFonts w:ascii="Calibri" w:hAnsi="Calibri"/>
          <w:noProof/>
          <w:szCs w:val="22"/>
          <w:lang w:val="en-CA" w:eastAsia="en-CA"/>
        </w:rPr>
      </w:pPr>
      <w:hyperlink w:anchor="_Toc442134110" w:history="1">
        <w:r w:rsidR="00472113" w:rsidRPr="00BA125F">
          <w:rPr>
            <w:rStyle w:val="Hyperlink"/>
            <w:noProof/>
          </w:rPr>
          <w:t>Personnel Terminations</w:t>
        </w:r>
        <w:r w:rsidR="00472113">
          <w:rPr>
            <w:noProof/>
            <w:webHidden/>
          </w:rPr>
          <w:tab/>
        </w:r>
        <w:r w:rsidR="00472113">
          <w:rPr>
            <w:noProof/>
            <w:webHidden/>
          </w:rPr>
          <w:fldChar w:fldCharType="begin"/>
        </w:r>
        <w:r w:rsidR="00472113">
          <w:rPr>
            <w:noProof/>
            <w:webHidden/>
          </w:rPr>
          <w:instrText xml:space="preserve"> PAGEREF _Toc442134110 \h </w:instrText>
        </w:r>
        <w:r w:rsidR="00472113">
          <w:rPr>
            <w:noProof/>
            <w:webHidden/>
          </w:rPr>
        </w:r>
        <w:r w:rsidR="00472113">
          <w:rPr>
            <w:noProof/>
            <w:webHidden/>
          </w:rPr>
          <w:fldChar w:fldCharType="separate"/>
        </w:r>
        <w:r w:rsidR="00557B29">
          <w:rPr>
            <w:noProof/>
            <w:webHidden/>
          </w:rPr>
          <w:t>2</w:t>
        </w:r>
        <w:r w:rsidR="00472113">
          <w:rPr>
            <w:noProof/>
            <w:webHidden/>
          </w:rPr>
          <w:fldChar w:fldCharType="end"/>
        </w:r>
      </w:hyperlink>
    </w:p>
    <w:p w:rsidR="00472113" w:rsidRPr="005E37B9" w:rsidRDefault="001201BA">
      <w:pPr>
        <w:pStyle w:val="TOC1"/>
        <w:rPr>
          <w:rFonts w:ascii="Calibri" w:hAnsi="Calibri"/>
          <w:noProof/>
          <w:szCs w:val="22"/>
          <w:lang w:val="en-CA" w:eastAsia="en-CA"/>
        </w:rPr>
      </w:pPr>
      <w:hyperlink w:anchor="_Toc442134111" w:history="1">
        <w:r w:rsidR="00472113" w:rsidRPr="00BA125F">
          <w:rPr>
            <w:rStyle w:val="Hyperlink"/>
            <w:bCs/>
            <w:noProof/>
          </w:rPr>
          <w:t>Violations</w:t>
        </w:r>
        <w:r w:rsidR="00472113">
          <w:rPr>
            <w:noProof/>
            <w:webHidden/>
          </w:rPr>
          <w:tab/>
        </w:r>
        <w:r w:rsidR="00472113">
          <w:rPr>
            <w:noProof/>
            <w:webHidden/>
          </w:rPr>
          <w:fldChar w:fldCharType="begin"/>
        </w:r>
        <w:r w:rsidR="00472113">
          <w:rPr>
            <w:noProof/>
            <w:webHidden/>
          </w:rPr>
          <w:instrText xml:space="preserve"> PAGEREF _Toc442134111 \h </w:instrText>
        </w:r>
        <w:r w:rsidR="00472113">
          <w:rPr>
            <w:noProof/>
            <w:webHidden/>
          </w:rPr>
        </w:r>
        <w:r w:rsidR="00472113">
          <w:rPr>
            <w:noProof/>
            <w:webHidden/>
          </w:rPr>
          <w:fldChar w:fldCharType="separate"/>
        </w:r>
        <w:r w:rsidR="00557B29">
          <w:rPr>
            <w:noProof/>
            <w:webHidden/>
          </w:rPr>
          <w:t>2</w:t>
        </w:r>
        <w:r w:rsidR="00472113">
          <w:rPr>
            <w:noProof/>
            <w:webHidden/>
          </w:rPr>
          <w:fldChar w:fldCharType="end"/>
        </w:r>
      </w:hyperlink>
    </w:p>
    <w:p w:rsidR="00472113" w:rsidRPr="005E37B9" w:rsidRDefault="001201BA">
      <w:pPr>
        <w:pStyle w:val="TOC1"/>
        <w:rPr>
          <w:rFonts w:ascii="Calibri" w:hAnsi="Calibri"/>
          <w:noProof/>
          <w:szCs w:val="22"/>
          <w:lang w:val="en-CA" w:eastAsia="en-CA"/>
        </w:rPr>
      </w:pPr>
      <w:hyperlink w:anchor="_Toc442134112" w:history="1">
        <w:r w:rsidR="00472113" w:rsidRPr="00BA125F">
          <w:rPr>
            <w:rStyle w:val="Hyperlink"/>
            <w:bCs/>
            <w:noProof/>
          </w:rPr>
          <w:t>Definitions</w:t>
        </w:r>
        <w:r w:rsidR="00472113">
          <w:rPr>
            <w:noProof/>
            <w:webHidden/>
          </w:rPr>
          <w:tab/>
        </w:r>
        <w:r w:rsidR="00472113">
          <w:rPr>
            <w:noProof/>
            <w:webHidden/>
          </w:rPr>
          <w:fldChar w:fldCharType="begin"/>
        </w:r>
        <w:r w:rsidR="00472113">
          <w:rPr>
            <w:noProof/>
            <w:webHidden/>
          </w:rPr>
          <w:instrText xml:space="preserve"> PAGEREF _Toc442134112 \h </w:instrText>
        </w:r>
        <w:r w:rsidR="00472113">
          <w:rPr>
            <w:noProof/>
            <w:webHidden/>
          </w:rPr>
        </w:r>
        <w:r w:rsidR="00472113">
          <w:rPr>
            <w:noProof/>
            <w:webHidden/>
          </w:rPr>
          <w:fldChar w:fldCharType="separate"/>
        </w:r>
        <w:r w:rsidR="00557B29">
          <w:rPr>
            <w:noProof/>
            <w:webHidden/>
          </w:rPr>
          <w:t>2</w:t>
        </w:r>
        <w:r w:rsidR="00472113">
          <w:rPr>
            <w:noProof/>
            <w:webHidden/>
          </w:rPr>
          <w:fldChar w:fldCharType="end"/>
        </w:r>
      </w:hyperlink>
    </w:p>
    <w:p w:rsidR="00472113" w:rsidRPr="005E37B9" w:rsidRDefault="001201BA">
      <w:pPr>
        <w:pStyle w:val="TOC1"/>
        <w:rPr>
          <w:rFonts w:ascii="Calibri" w:hAnsi="Calibri"/>
          <w:noProof/>
          <w:szCs w:val="22"/>
          <w:lang w:val="en-CA" w:eastAsia="en-CA"/>
        </w:rPr>
      </w:pPr>
      <w:hyperlink w:anchor="_Toc442134113" w:history="1">
        <w:r w:rsidR="00472113" w:rsidRPr="00BA125F">
          <w:rPr>
            <w:rStyle w:val="Hyperlink"/>
            <w:noProof/>
          </w:rPr>
          <w:t>References</w:t>
        </w:r>
        <w:r w:rsidR="00472113">
          <w:rPr>
            <w:noProof/>
            <w:webHidden/>
          </w:rPr>
          <w:tab/>
        </w:r>
        <w:r w:rsidR="00472113">
          <w:rPr>
            <w:noProof/>
            <w:webHidden/>
          </w:rPr>
          <w:fldChar w:fldCharType="begin"/>
        </w:r>
        <w:r w:rsidR="00472113">
          <w:rPr>
            <w:noProof/>
            <w:webHidden/>
          </w:rPr>
          <w:instrText xml:space="preserve"> PAGEREF _Toc442134113 \h </w:instrText>
        </w:r>
        <w:r w:rsidR="00472113">
          <w:rPr>
            <w:noProof/>
            <w:webHidden/>
          </w:rPr>
        </w:r>
        <w:r w:rsidR="00472113">
          <w:rPr>
            <w:noProof/>
            <w:webHidden/>
          </w:rPr>
          <w:fldChar w:fldCharType="separate"/>
        </w:r>
        <w:r w:rsidR="00557B29">
          <w:rPr>
            <w:noProof/>
            <w:webHidden/>
          </w:rPr>
          <w:t>2</w:t>
        </w:r>
        <w:r w:rsidR="00472113">
          <w:rPr>
            <w:noProof/>
            <w:webHidden/>
          </w:rPr>
          <w:fldChar w:fldCharType="end"/>
        </w:r>
      </w:hyperlink>
    </w:p>
    <w:p w:rsidR="00472113" w:rsidRPr="005E37B9" w:rsidRDefault="001201BA">
      <w:pPr>
        <w:pStyle w:val="TOC1"/>
        <w:rPr>
          <w:rFonts w:ascii="Calibri" w:hAnsi="Calibri"/>
          <w:noProof/>
          <w:szCs w:val="22"/>
          <w:lang w:val="en-CA" w:eastAsia="en-CA"/>
        </w:rPr>
      </w:pPr>
      <w:hyperlink w:anchor="_Toc442134114" w:history="1">
        <w:r w:rsidR="00472113" w:rsidRPr="00BA125F">
          <w:rPr>
            <w:rStyle w:val="Hyperlink"/>
            <w:bCs/>
            <w:noProof/>
          </w:rPr>
          <w:t>Approval and Ownership</w:t>
        </w:r>
        <w:r w:rsidR="00472113">
          <w:rPr>
            <w:noProof/>
            <w:webHidden/>
          </w:rPr>
          <w:tab/>
        </w:r>
        <w:r w:rsidR="00472113">
          <w:rPr>
            <w:noProof/>
            <w:webHidden/>
          </w:rPr>
          <w:fldChar w:fldCharType="begin"/>
        </w:r>
        <w:r w:rsidR="00472113">
          <w:rPr>
            <w:noProof/>
            <w:webHidden/>
          </w:rPr>
          <w:instrText xml:space="preserve"> PAGEREF _Toc442134114 \h </w:instrText>
        </w:r>
        <w:r w:rsidR="00472113">
          <w:rPr>
            <w:noProof/>
            <w:webHidden/>
          </w:rPr>
        </w:r>
        <w:r w:rsidR="00472113">
          <w:rPr>
            <w:noProof/>
            <w:webHidden/>
          </w:rPr>
          <w:fldChar w:fldCharType="separate"/>
        </w:r>
        <w:r w:rsidR="00557B29">
          <w:rPr>
            <w:noProof/>
            <w:webHidden/>
          </w:rPr>
          <w:t>2</w:t>
        </w:r>
        <w:r w:rsidR="00472113">
          <w:rPr>
            <w:noProof/>
            <w:webHidden/>
          </w:rPr>
          <w:fldChar w:fldCharType="end"/>
        </w:r>
      </w:hyperlink>
    </w:p>
    <w:p w:rsidR="0077342D" w:rsidRPr="00074BA0" w:rsidRDefault="0056414F" w:rsidP="00DD0B04">
      <w:pPr>
        <w:pStyle w:val="TOC1"/>
      </w:pPr>
      <w:r>
        <w:fldChar w:fldCharType="end"/>
      </w:r>
    </w:p>
    <w:p w:rsidR="0031082D" w:rsidRPr="003F09FA" w:rsidRDefault="0031082D" w:rsidP="0031082D">
      <w:pPr>
        <w:pStyle w:val="PolicyElementHeader"/>
        <w:rPr>
          <w:bCs/>
          <w:color w:val="00527A"/>
        </w:rPr>
      </w:pPr>
      <w:bookmarkStart w:id="1" w:name="_Toc240945136"/>
      <w:bookmarkStart w:id="2" w:name="_Toc297126972"/>
      <w:bookmarkStart w:id="3" w:name="_Toc385339820"/>
      <w:bookmarkStart w:id="4" w:name="_Toc442134102"/>
      <w:r w:rsidRPr="003F09FA">
        <w:rPr>
          <w:bCs/>
          <w:color w:val="00527A"/>
        </w:rPr>
        <w:t>Purpose</w:t>
      </w:r>
      <w:bookmarkEnd w:id="1"/>
      <w:bookmarkEnd w:id="2"/>
      <w:bookmarkEnd w:id="3"/>
      <w:bookmarkEnd w:id="4"/>
    </w:p>
    <w:p w:rsidR="0031082D" w:rsidRPr="0077342D" w:rsidRDefault="0031082D" w:rsidP="0031082D">
      <w:bookmarkStart w:id="5" w:name="_Toc240945137"/>
      <w:bookmarkStart w:id="6" w:name="_Toc297126973"/>
      <w:r w:rsidRPr="0086465F">
        <w:t xml:space="preserve">This policy defines the information security-related requirements </w:t>
      </w:r>
      <w:r>
        <w:t xml:space="preserve">that </w:t>
      </w:r>
      <w:r w:rsidRPr="0086465F">
        <w:t>impact the hiring</w:t>
      </w:r>
      <w:r>
        <w:t>,</w:t>
      </w:r>
      <w:r w:rsidRPr="0086465F">
        <w:t xml:space="preserve"> ongoing management </w:t>
      </w:r>
      <w:r>
        <w:t xml:space="preserve">and termination </w:t>
      </w:r>
      <w:r w:rsidRPr="0086465F">
        <w:t xml:space="preserve">of personnel at </w:t>
      </w:r>
      <w:r w:rsidR="00472113">
        <w:t>Company X</w:t>
      </w:r>
      <w:r w:rsidRPr="0086465F">
        <w:t>.</w:t>
      </w:r>
    </w:p>
    <w:p w:rsidR="0031082D" w:rsidRPr="003F09FA" w:rsidRDefault="0031082D" w:rsidP="0031082D">
      <w:pPr>
        <w:pStyle w:val="PolicyElementHeader"/>
        <w:rPr>
          <w:bCs/>
          <w:color w:val="00527A"/>
        </w:rPr>
      </w:pPr>
      <w:bookmarkStart w:id="7" w:name="_Toc385339821"/>
      <w:bookmarkStart w:id="8" w:name="_Toc442134103"/>
      <w:r w:rsidRPr="003F09FA">
        <w:rPr>
          <w:bCs/>
          <w:color w:val="00527A"/>
        </w:rPr>
        <w:t>Scope</w:t>
      </w:r>
      <w:bookmarkEnd w:id="5"/>
      <w:bookmarkEnd w:id="6"/>
      <w:bookmarkEnd w:id="7"/>
      <w:bookmarkEnd w:id="8"/>
    </w:p>
    <w:p w:rsidR="0031082D" w:rsidRPr="00CD236D" w:rsidRDefault="0031082D" w:rsidP="0031082D">
      <w:pPr>
        <w:rPr>
          <w:szCs w:val="22"/>
        </w:rPr>
      </w:pPr>
      <w:r w:rsidRPr="0086465F">
        <w:rPr>
          <w:szCs w:val="22"/>
        </w:rPr>
        <w:t xml:space="preserve">This policy applies to all </w:t>
      </w:r>
      <w:r w:rsidR="00472113">
        <w:rPr>
          <w:szCs w:val="22"/>
        </w:rPr>
        <w:t>Company X</w:t>
      </w:r>
      <w:r w:rsidRPr="0086465F">
        <w:rPr>
          <w:szCs w:val="22"/>
        </w:rPr>
        <w:t xml:space="preserve"> employees and partners.</w:t>
      </w:r>
      <w:r w:rsidRPr="00CD236D">
        <w:rPr>
          <w:szCs w:val="22"/>
        </w:rPr>
        <w:t xml:space="preserve"> </w:t>
      </w:r>
    </w:p>
    <w:p w:rsidR="0031082D" w:rsidRPr="003F09FA" w:rsidRDefault="0031082D" w:rsidP="0031082D">
      <w:pPr>
        <w:pStyle w:val="PolicyElementHeader"/>
        <w:rPr>
          <w:bCs/>
          <w:color w:val="00527A"/>
        </w:rPr>
      </w:pPr>
      <w:bookmarkStart w:id="9" w:name="_Toc240945138"/>
      <w:bookmarkStart w:id="10" w:name="_Toc297126974"/>
      <w:bookmarkStart w:id="11" w:name="_Toc385339822"/>
      <w:bookmarkStart w:id="12" w:name="_Toc442134104"/>
      <w:r w:rsidRPr="003F09FA">
        <w:rPr>
          <w:bCs/>
          <w:color w:val="00527A"/>
        </w:rPr>
        <w:t>Policy</w:t>
      </w:r>
      <w:bookmarkEnd w:id="9"/>
      <w:bookmarkEnd w:id="10"/>
      <w:bookmarkEnd w:id="11"/>
      <w:bookmarkEnd w:id="12"/>
    </w:p>
    <w:p w:rsidR="0031082D" w:rsidRPr="004C065C" w:rsidRDefault="0031082D" w:rsidP="0031082D">
      <w:pPr>
        <w:pStyle w:val="Heading3"/>
        <w:rPr>
          <w:rStyle w:val="Strong"/>
          <w:b/>
          <w:bCs/>
        </w:rPr>
      </w:pPr>
      <w:bookmarkStart w:id="13" w:name="_Toc385339823"/>
      <w:bookmarkStart w:id="14" w:name="_Toc442134105"/>
      <w:r w:rsidRPr="004C065C">
        <w:rPr>
          <w:rStyle w:val="Strong"/>
          <w:b/>
          <w:bCs/>
        </w:rPr>
        <w:t>Roles and Responsibilities</w:t>
      </w:r>
      <w:bookmarkEnd w:id="13"/>
      <w:bookmarkEnd w:id="14"/>
    </w:p>
    <w:p w:rsidR="00313E57" w:rsidRDefault="0031082D" w:rsidP="00B57928">
      <w:pPr>
        <w:pStyle w:val="PolicyBodyText"/>
      </w:pPr>
      <w:r w:rsidRPr="008063B7">
        <w:rPr>
          <w:rStyle w:val="Strong"/>
        </w:rPr>
        <w:t>Job Descriptions</w:t>
      </w:r>
      <w:r w:rsidRPr="00BA21BA">
        <w:t xml:space="preserve"> </w:t>
      </w:r>
      <w:r>
        <w:t>- Specific information security responsibilities must be incorporated into all worker job descriptions if such wo</w:t>
      </w:r>
      <w:r w:rsidR="006E4B35">
        <w:t xml:space="preserve">rkers have access to sensitive </w:t>
      </w:r>
      <w:r>
        <w:t>information.</w:t>
      </w:r>
      <w:bookmarkStart w:id="15" w:name="_Toc385339824"/>
    </w:p>
    <w:p w:rsidR="001F70A7" w:rsidRDefault="001F70A7" w:rsidP="001F70A7">
      <w:pPr>
        <w:pStyle w:val="PolicyBodyText"/>
      </w:pPr>
      <w:r w:rsidRPr="008063B7">
        <w:rPr>
          <w:rStyle w:val="Strong"/>
        </w:rPr>
        <w:t>Performance Evaluations</w:t>
      </w:r>
      <w:r w:rsidRPr="008063B7">
        <w:t xml:space="preserve"> </w:t>
      </w:r>
      <w:r>
        <w:t>- Compliance with information security policies and procedures must be considered in all employee performance evaluations.</w:t>
      </w:r>
    </w:p>
    <w:p w:rsidR="0031082D" w:rsidRDefault="0031082D" w:rsidP="0031082D">
      <w:pPr>
        <w:pStyle w:val="Heading3"/>
      </w:pPr>
      <w:bookmarkStart w:id="16" w:name="_Toc442134106"/>
      <w:r>
        <w:t>Pre-Employment Screening</w:t>
      </w:r>
      <w:bookmarkEnd w:id="15"/>
      <w:bookmarkEnd w:id="16"/>
    </w:p>
    <w:p w:rsidR="0031082D" w:rsidRDefault="0031082D" w:rsidP="0031082D">
      <w:pPr>
        <w:pStyle w:val="PolicyBodyText"/>
      </w:pPr>
      <w:r w:rsidRPr="00B427DB">
        <w:rPr>
          <w:rStyle w:val="Strong"/>
        </w:rPr>
        <w:t>Background Checks</w:t>
      </w:r>
      <w:r w:rsidRPr="00B427DB">
        <w:t xml:space="preserve"> </w:t>
      </w:r>
      <w:r>
        <w:t>- All workers to be placed in computer-related positions of trust must pass a background check. This process shall include examination of criminal conviction records, lawsuit records, credit bureau records, driver’s license records, and verification of previous employment.</w:t>
      </w:r>
    </w:p>
    <w:p w:rsidR="001F70A7" w:rsidRDefault="001F70A7" w:rsidP="001F70A7">
      <w:pPr>
        <w:pStyle w:val="PolicyBodyText"/>
      </w:pPr>
      <w:r w:rsidRPr="00B427DB">
        <w:rPr>
          <w:rStyle w:val="Strong"/>
        </w:rPr>
        <w:t>Prospective Employee Information</w:t>
      </w:r>
      <w:r>
        <w:t xml:space="preserve"> - Personal information about a prospective employee may not be gathered unless it is necessary to make an employment decision and relevant to the job. This policy addresses marital status, family planning objectives, off-hours activities, </w:t>
      </w:r>
      <w:r>
        <w:lastRenderedPageBreak/>
        <w:t>political affiliations, performance on previous jobs, previous employers, credit history, education, and other personal details.</w:t>
      </w:r>
    </w:p>
    <w:p w:rsidR="001F70A7" w:rsidRDefault="001F70A7" w:rsidP="001F70A7">
      <w:pPr>
        <w:pStyle w:val="PolicyBodyText"/>
      </w:pPr>
      <w:r w:rsidRPr="00B427DB">
        <w:rPr>
          <w:rStyle w:val="Strong"/>
        </w:rPr>
        <w:t>Revealing Information To Prospective Employees</w:t>
      </w:r>
      <w:r w:rsidRPr="00B427DB">
        <w:t xml:space="preserve"> </w:t>
      </w:r>
      <w:r>
        <w:t>- Information systems technical details, such as network addresses, network diagrams, and security software employed, must not be revealed to job applicants until they have signed a confidentiality agreement and also have been hired or retained.</w:t>
      </w:r>
    </w:p>
    <w:p w:rsidR="001F70A7" w:rsidRDefault="001F70A7" w:rsidP="0031082D">
      <w:pPr>
        <w:pStyle w:val="PolicyBodyText"/>
      </w:pPr>
    </w:p>
    <w:p w:rsidR="0031082D" w:rsidRDefault="0031082D" w:rsidP="0031082D">
      <w:pPr>
        <w:pStyle w:val="Heading3"/>
      </w:pPr>
      <w:bookmarkStart w:id="17" w:name="_Toc385339825"/>
      <w:bookmarkStart w:id="18" w:name="_Toc442134107"/>
      <w:r>
        <w:t>Terms and Conditions of Employment</w:t>
      </w:r>
      <w:bookmarkEnd w:id="17"/>
      <w:bookmarkEnd w:id="18"/>
    </w:p>
    <w:p w:rsidR="001F70A7" w:rsidRDefault="001F70A7" w:rsidP="001F70A7">
      <w:pPr>
        <w:pStyle w:val="PolicyBodyText"/>
      </w:pPr>
      <w:r>
        <w:rPr>
          <w:rStyle w:val="Strong"/>
        </w:rPr>
        <w:t>Security Policy</w:t>
      </w:r>
      <w:r w:rsidRPr="000C06AA">
        <w:rPr>
          <w:rStyle w:val="Strong"/>
        </w:rPr>
        <w:t xml:space="preserve"> Agreement</w:t>
      </w:r>
      <w:r>
        <w:t xml:space="preserve"> - Every worker must understand the Company X policies and procedures about information security, and must agree in writing to perform his or her work according to these same policies and procedures.</w:t>
      </w:r>
    </w:p>
    <w:p w:rsidR="0031082D" w:rsidRDefault="0031082D" w:rsidP="0031082D">
      <w:pPr>
        <w:pStyle w:val="PolicyBodyText"/>
      </w:pPr>
      <w:r w:rsidRPr="00A4341D">
        <w:rPr>
          <w:rStyle w:val="Strong"/>
        </w:rPr>
        <w:t xml:space="preserve">Non-Disclosure Agreements </w:t>
      </w:r>
      <w:r>
        <w:t xml:space="preserve">- All workers must personally sign a </w:t>
      </w:r>
      <w:r w:rsidR="00472113">
        <w:t>Company X</w:t>
      </w:r>
      <w:r>
        <w:t xml:space="preserve"> non-disclosure agreement before work begins. If a worker has been working without a non-disclosure agreement, a signature must be provided as a condition of continued employment.</w:t>
      </w:r>
    </w:p>
    <w:p w:rsidR="0031082D" w:rsidRDefault="0031082D" w:rsidP="0031082D">
      <w:pPr>
        <w:pStyle w:val="PolicyBodyText"/>
      </w:pPr>
      <w:r w:rsidRPr="00A4341D">
        <w:rPr>
          <w:rStyle w:val="Strong"/>
        </w:rPr>
        <w:t>Intellectual Property Rights</w:t>
      </w:r>
      <w:r w:rsidR="001F70A7">
        <w:rPr>
          <w:rStyle w:val="Strong"/>
        </w:rPr>
        <w:t xml:space="preserve"> Agreement</w:t>
      </w:r>
      <w:r>
        <w:t xml:space="preserve"> - While employees of </w:t>
      </w:r>
      <w:r w:rsidR="00472113">
        <w:t>Company X</w:t>
      </w:r>
      <w:r>
        <w:t xml:space="preserve">, all staff members grant to </w:t>
      </w:r>
      <w:r w:rsidR="00472113">
        <w:t>Company X</w:t>
      </w:r>
      <w:r>
        <w:t xml:space="preserve"> exclusive rights to patents, copyrights, inventions, and all other intellectual property they originate or develop.</w:t>
      </w:r>
    </w:p>
    <w:p w:rsidR="0031082D" w:rsidRDefault="0031082D" w:rsidP="0031082D">
      <w:pPr>
        <w:pStyle w:val="PolicyBodyText"/>
      </w:pPr>
      <w:r w:rsidRPr="00A4341D">
        <w:rPr>
          <w:rStyle w:val="Strong"/>
        </w:rPr>
        <w:t>Code Of Conduct Acknowledgement</w:t>
      </w:r>
      <w:r>
        <w:t xml:space="preserve"> - All workers must indicate their understanding of the code of conduct by annually signing a form acknowledging that they agree to subscribe to the code.</w:t>
      </w:r>
    </w:p>
    <w:p w:rsidR="001F70A7" w:rsidRDefault="001F70A7" w:rsidP="001F70A7">
      <w:pPr>
        <w:pStyle w:val="PolicyBodyText"/>
      </w:pPr>
      <w:r w:rsidRPr="00A4341D">
        <w:rPr>
          <w:rStyle w:val="Strong"/>
        </w:rPr>
        <w:t>Conflicts of Interest</w:t>
      </w:r>
      <w:r>
        <w:t xml:space="preserve"> - All workers must avoid the actual or apparent conflict of interest in their business-related dealings with Company X. Should there be any doubt as to the existence of a potential conflict of interest, the worker must consult his or her manager.</w:t>
      </w:r>
    </w:p>
    <w:p w:rsidR="0031082D" w:rsidRDefault="0031082D" w:rsidP="0031082D">
      <w:pPr>
        <w:pStyle w:val="Heading3"/>
      </w:pPr>
      <w:bookmarkStart w:id="19" w:name="_Toc385339826"/>
      <w:bookmarkStart w:id="20" w:name="_Toc442134108"/>
      <w:r>
        <w:t>Security Awareness and Training</w:t>
      </w:r>
      <w:bookmarkEnd w:id="19"/>
      <w:bookmarkEnd w:id="20"/>
    </w:p>
    <w:p w:rsidR="0031082D" w:rsidRPr="0093323E" w:rsidRDefault="0031082D" w:rsidP="0031082D">
      <w:pPr>
        <w:pStyle w:val="PolicyBodyText"/>
        <w:rPr>
          <w:rStyle w:val="Strong"/>
          <w:b w:val="0"/>
        </w:rPr>
      </w:pPr>
      <w:r w:rsidRPr="00056D00">
        <w:rPr>
          <w:rStyle w:val="Strong"/>
        </w:rPr>
        <w:t>Security Violations</w:t>
      </w:r>
      <w:r>
        <w:rPr>
          <w:rStyle w:val="Strong"/>
        </w:rPr>
        <w:t xml:space="preserve"> and Reporting</w:t>
      </w:r>
      <w:r>
        <w:rPr>
          <w:rStyle w:val="Strong"/>
          <w:b w:val="0"/>
        </w:rPr>
        <w:t xml:space="preserve"> - </w:t>
      </w:r>
      <w:r w:rsidRPr="0093323E">
        <w:rPr>
          <w:rStyle w:val="Strong"/>
          <w:b w:val="0"/>
        </w:rPr>
        <w:t>Users must be clearly informed about the actions that constitute security violations as well as informed that all such violations will be logged</w:t>
      </w:r>
      <w:r>
        <w:rPr>
          <w:rStyle w:val="Strong"/>
          <w:b w:val="0"/>
        </w:rPr>
        <w:t xml:space="preserve"> and how to properly report possible security incidents.</w:t>
      </w:r>
    </w:p>
    <w:p w:rsidR="0031082D" w:rsidRDefault="0031082D" w:rsidP="0031082D">
      <w:pPr>
        <w:pStyle w:val="PolicyBodyText"/>
      </w:pPr>
      <w:r w:rsidRPr="000C06AA">
        <w:rPr>
          <w:rStyle w:val="Strong"/>
        </w:rPr>
        <w:t>Information Security Policy</w:t>
      </w:r>
      <w:r>
        <w:rPr>
          <w:rStyle w:val="Strong"/>
        </w:rPr>
        <w:t xml:space="preserve"> Distribution</w:t>
      </w:r>
      <w:r>
        <w:t xml:space="preserve"> - </w:t>
      </w:r>
      <w:r w:rsidR="0086765C">
        <w:t>A</w:t>
      </w:r>
      <w:r>
        <w:t xml:space="preserve">ll new </w:t>
      </w:r>
      <w:r w:rsidR="00472113">
        <w:t>Company X</w:t>
      </w:r>
      <w:r>
        <w:t xml:space="preserve"> workers must receive a copy of the information security policy (policies) and be made aware that they must comply with the requirements described in these policies as a condition of continued employment.</w:t>
      </w:r>
    </w:p>
    <w:p w:rsidR="001F70A7" w:rsidRDefault="001F70A7" w:rsidP="001F70A7">
      <w:pPr>
        <w:pStyle w:val="PolicyBodyText"/>
      </w:pPr>
      <w:r w:rsidRPr="000C06AA">
        <w:rPr>
          <w:rStyle w:val="Strong"/>
        </w:rPr>
        <w:t>Information Security Policy Changes</w:t>
      </w:r>
      <w:r>
        <w:t xml:space="preserve"> - All Company X workers must receive prompt notice of changes in the Company X information security policy, including how these changes may affect them, and how to obtain additional information.</w:t>
      </w:r>
    </w:p>
    <w:p w:rsidR="0031082D" w:rsidRDefault="0031082D" w:rsidP="0031082D">
      <w:pPr>
        <w:pStyle w:val="PolicyBodyText"/>
      </w:pPr>
      <w:r w:rsidRPr="00056D00">
        <w:rPr>
          <w:b/>
        </w:rPr>
        <w:t xml:space="preserve">Annual </w:t>
      </w:r>
      <w:r>
        <w:rPr>
          <w:b/>
        </w:rPr>
        <w:t>Information Security Class</w:t>
      </w:r>
      <w:r>
        <w:t xml:space="preserve"> - All employees and partners must complete an information security training course and pass a corresponding test on an annual basis. New workers must attend and pass the course within 15 days of the date when they begin employment with </w:t>
      </w:r>
      <w:r w:rsidR="00472113">
        <w:t>Company X</w:t>
      </w:r>
      <w:r>
        <w:t>.</w:t>
      </w:r>
    </w:p>
    <w:p w:rsidR="001F70A7" w:rsidRDefault="001F70A7" w:rsidP="001F70A7">
      <w:pPr>
        <w:pStyle w:val="PolicyBodyText"/>
      </w:pPr>
      <w:r>
        <w:rPr>
          <w:rStyle w:val="Strong"/>
        </w:rPr>
        <w:t xml:space="preserve">Training Verification Record </w:t>
      </w:r>
      <w:r w:rsidRPr="005C5B52">
        <w:t>-</w:t>
      </w:r>
      <w:r>
        <w:t xml:space="preserve"> To provide evidence that every employee has attended such a class, each employee must sign a statement that they have attended a class, understood the material presented, and had an opportunity to ask questions.</w:t>
      </w:r>
    </w:p>
    <w:p w:rsidR="001F70A7" w:rsidRPr="005C5B52" w:rsidRDefault="001F70A7" w:rsidP="001F70A7">
      <w:pPr>
        <w:pStyle w:val="PolicyBodyText"/>
        <w:rPr>
          <w:bCs/>
        </w:rPr>
      </w:pPr>
      <w:r w:rsidRPr="00056D00">
        <w:rPr>
          <w:rStyle w:val="Strong"/>
        </w:rPr>
        <w:lastRenderedPageBreak/>
        <w:t>Training</w:t>
      </w:r>
      <w:r>
        <w:rPr>
          <w:rStyle w:val="Strong"/>
        </w:rPr>
        <w:t xml:space="preserve"> Records</w:t>
      </w:r>
      <w:r w:rsidRPr="00056D00">
        <w:rPr>
          <w:rStyle w:val="Strong"/>
        </w:rPr>
        <w:t xml:space="preserve"> List</w:t>
      </w:r>
      <w:r>
        <w:rPr>
          <w:rStyle w:val="Strong"/>
          <w:b w:val="0"/>
        </w:rPr>
        <w:t xml:space="preserve"> - </w:t>
      </w:r>
      <w:r w:rsidRPr="0093323E">
        <w:rPr>
          <w:rStyle w:val="Strong"/>
          <w:b w:val="0"/>
        </w:rPr>
        <w:t xml:space="preserve">Management must maintain a listing of the training provided to all users of </w:t>
      </w:r>
      <w:r>
        <w:rPr>
          <w:rStyle w:val="Strong"/>
          <w:b w:val="0"/>
        </w:rPr>
        <w:t>Company X</w:t>
      </w:r>
      <w:r w:rsidRPr="0093323E">
        <w:rPr>
          <w:rStyle w:val="Strong"/>
          <w:b w:val="0"/>
        </w:rPr>
        <w:t>’s information assets.</w:t>
      </w:r>
    </w:p>
    <w:p w:rsidR="001F70A7" w:rsidRPr="001F70A7" w:rsidRDefault="001F70A7" w:rsidP="001F70A7">
      <w:pPr>
        <w:pStyle w:val="Heading3"/>
      </w:pPr>
      <w:bookmarkStart w:id="21" w:name="_Toc385339827"/>
      <w:r w:rsidRPr="001F70A7">
        <w:rPr>
          <w:rStyle w:val="Strong"/>
          <w:b/>
          <w:bCs/>
        </w:rPr>
        <w:t>Segregation of Duties</w:t>
      </w:r>
      <w:bookmarkEnd w:id="21"/>
    </w:p>
    <w:p w:rsidR="001F70A7" w:rsidRDefault="001F70A7" w:rsidP="001F70A7">
      <w:pPr>
        <w:pStyle w:val="PolicyBodyText"/>
      </w:pPr>
      <w:r w:rsidRPr="00653F92">
        <w:rPr>
          <w:rStyle w:val="Strong"/>
        </w:rPr>
        <w:t>Separation of Request and Approval</w:t>
      </w:r>
      <w:r>
        <w:t xml:space="preserve"> - </w:t>
      </w:r>
      <w:r w:rsidRPr="00653F92">
        <w:t xml:space="preserve">For any significant transaction, administrative procedure or change to </w:t>
      </w:r>
      <w:r>
        <w:t>Company X</w:t>
      </w:r>
      <w:r w:rsidRPr="00653F92">
        <w:t xml:space="preserve"> information systems falling under the scope of this policy, the one(s) approving the change must be separate from the one(s) initiating the request.</w:t>
      </w:r>
    </w:p>
    <w:p w:rsidR="001F70A7" w:rsidRPr="00653F92" w:rsidRDefault="001F70A7" w:rsidP="001F70A7">
      <w:pPr>
        <w:pStyle w:val="PolicyBodyText"/>
      </w:pPr>
      <w:r w:rsidRPr="00653F92">
        <w:rPr>
          <w:rStyle w:val="Strong"/>
        </w:rPr>
        <w:t>Separate Security Administration Functions</w:t>
      </w:r>
      <w:r>
        <w:t xml:space="preserve"> - </w:t>
      </w:r>
      <w:r w:rsidRPr="00653F92">
        <w:t>Accordingly, the functions of information technology security administration and the functions of security infrastructure changes are to be kept separate.  All security administration processes are to be designed and implemented so that no one person, alone, can compromise a security control, either inadvertently or deliberately.</w:t>
      </w:r>
    </w:p>
    <w:p w:rsidR="001F70A7" w:rsidRDefault="001F70A7" w:rsidP="001F70A7">
      <w:pPr>
        <w:pStyle w:val="PolicyBodyText"/>
      </w:pPr>
      <w:r w:rsidRPr="00653F92">
        <w:rPr>
          <w:rStyle w:val="Strong"/>
        </w:rPr>
        <w:t>Separation Of Duties</w:t>
      </w:r>
      <w:r>
        <w:t xml:space="preserve"> - </w:t>
      </w:r>
      <w:r w:rsidRPr="00653F92">
        <w:t xml:space="preserve">Whenever a </w:t>
      </w:r>
      <w:r>
        <w:t>Company X</w:t>
      </w:r>
      <w:r w:rsidRPr="00653F92">
        <w:t xml:space="preserve"> computer-based process involves </w:t>
      </w:r>
      <w:r>
        <w:t>confidential</w:t>
      </w:r>
      <w:r w:rsidRPr="00653F92">
        <w:t xml:space="preserve"> valuable, or critical information, the system must include controls involving a separation of duties or other compensating control measures that ensure that no one individual has exclusive control over these types of information.</w:t>
      </w:r>
    </w:p>
    <w:p w:rsidR="0031082D" w:rsidRDefault="0031082D" w:rsidP="0031082D">
      <w:pPr>
        <w:pStyle w:val="Heading3"/>
      </w:pPr>
      <w:bookmarkStart w:id="22" w:name="_Toc385339828"/>
      <w:bookmarkStart w:id="23" w:name="_Toc442134109"/>
      <w:r>
        <w:t>Personnel Transfers and Changes</w:t>
      </w:r>
      <w:bookmarkEnd w:id="22"/>
      <w:bookmarkEnd w:id="23"/>
    </w:p>
    <w:p w:rsidR="0031082D" w:rsidRDefault="0031082D" w:rsidP="0031082D">
      <w:pPr>
        <w:pStyle w:val="PolicyBodyText"/>
      </w:pPr>
      <w:r w:rsidRPr="00A4341D">
        <w:rPr>
          <w:rStyle w:val="Strong"/>
        </w:rPr>
        <w:t>Reporting Status Changes</w:t>
      </w:r>
      <w:r>
        <w:t xml:space="preserve"> - Employees have a duty to promptly report to their immediate manager all changes in their personal status which might affect their eligibility to maintain their current position. Examples of such status changes include convictions for job-related crimes and outside business activities.</w:t>
      </w:r>
    </w:p>
    <w:p w:rsidR="0031082D" w:rsidRPr="004C065C" w:rsidRDefault="0031082D" w:rsidP="0031082D">
      <w:pPr>
        <w:pStyle w:val="Heading3"/>
      </w:pPr>
      <w:bookmarkStart w:id="24" w:name="_Toc385339829"/>
      <w:bookmarkStart w:id="25" w:name="_Toc442134110"/>
      <w:r w:rsidRPr="004C065C">
        <w:rPr>
          <w:rStyle w:val="Strong"/>
          <w:b/>
          <w:bCs/>
        </w:rPr>
        <w:t>Personnel Terminations</w:t>
      </w:r>
      <w:bookmarkEnd w:id="24"/>
      <w:bookmarkEnd w:id="25"/>
    </w:p>
    <w:p w:rsidR="0031082D" w:rsidRDefault="0031082D" w:rsidP="0031082D">
      <w:pPr>
        <w:pStyle w:val="PolicyBodyText"/>
      </w:pPr>
      <w:r w:rsidRPr="00653F92">
        <w:rPr>
          <w:rStyle w:val="Strong"/>
        </w:rPr>
        <w:t>Worker Termination Responsibility</w:t>
      </w:r>
      <w:r>
        <w:t xml:space="preserve"> - In the event that an employee, consultant, or contractor is terminating his or her relationship with </w:t>
      </w:r>
      <w:r w:rsidR="00472113">
        <w:t>Company X</w:t>
      </w:r>
      <w:r>
        <w:t xml:space="preserve">, the </w:t>
      </w:r>
      <w:r w:rsidR="00472113">
        <w:t>Company X</w:t>
      </w:r>
      <w:r w:rsidR="00B57928">
        <w:t xml:space="preserve"> Office Manager</w:t>
      </w:r>
      <w:r>
        <w:t xml:space="preserve"> must ensure that all property in the custody of the worker is returned before the worker leaves </w:t>
      </w:r>
      <w:r w:rsidR="00472113">
        <w:t>Company X</w:t>
      </w:r>
      <w:r>
        <w:t>, notify all administrators handling the computer and communications accounts used by the worker as soon as the termination is known, and terminate all other work-related privileges of the individual at the time that the termination takes place.</w:t>
      </w:r>
    </w:p>
    <w:p w:rsidR="0031082D" w:rsidRDefault="0031082D" w:rsidP="0031082D">
      <w:pPr>
        <w:pStyle w:val="PolicyBodyText"/>
      </w:pPr>
      <w:r w:rsidRPr="004C065C">
        <w:rPr>
          <w:b/>
          <w:bCs/>
        </w:rPr>
        <w:t>Involuntary Terminations</w:t>
      </w:r>
      <w:r>
        <w:t xml:space="preserve"> - In all cases where information technology support workers are involuntarily terminated, they must be immediately relieved of all of their duties, required to return all </w:t>
      </w:r>
      <w:r w:rsidR="00472113">
        <w:t>Company X</w:t>
      </w:r>
      <w:r>
        <w:t xml:space="preserve"> equipment and information, and escorted while they pack their belongings and walk out of </w:t>
      </w:r>
      <w:r w:rsidR="00472113">
        <w:t>Company X</w:t>
      </w:r>
      <w:r>
        <w:t xml:space="preserve"> facilities.</w:t>
      </w:r>
    </w:p>
    <w:p w:rsidR="00481C65" w:rsidRDefault="0031082D" w:rsidP="0031082D">
      <w:pPr>
        <w:pStyle w:val="PolicyBodyText"/>
      </w:pPr>
      <w:r w:rsidRPr="00653F92">
        <w:rPr>
          <w:rStyle w:val="Strong"/>
        </w:rPr>
        <w:t>Recovery Of Organization Property</w:t>
      </w:r>
      <w:r>
        <w:t xml:space="preserve"> - Employees, temporaries, contractors, and consultants must not receive their final paycheck unless they have returned all hardware, software, working materials, confidential information, and other property belonging to </w:t>
      </w:r>
      <w:r w:rsidR="00472113">
        <w:t>Company X</w:t>
      </w:r>
      <w:r>
        <w:t>.</w:t>
      </w:r>
    </w:p>
    <w:p w:rsidR="0098484E" w:rsidRPr="00074BA0" w:rsidRDefault="0098484E" w:rsidP="0098484E">
      <w:pPr>
        <w:pStyle w:val="PolicyElementHeader"/>
        <w:rPr>
          <w:bCs/>
          <w:color w:val="00527A"/>
        </w:rPr>
      </w:pPr>
      <w:bookmarkStart w:id="26" w:name="_Toc441740851"/>
      <w:bookmarkStart w:id="27" w:name="_Toc442134111"/>
      <w:r>
        <w:rPr>
          <w:bCs/>
          <w:color w:val="00527A"/>
        </w:rPr>
        <w:t>Violations</w:t>
      </w:r>
      <w:bookmarkEnd w:id="26"/>
      <w:bookmarkEnd w:id="27"/>
    </w:p>
    <w:p w:rsidR="0098484E" w:rsidRPr="002A7256" w:rsidRDefault="0098484E" w:rsidP="0098484E">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r w:rsidR="00472113">
        <w:rPr>
          <w:rFonts w:eastAsia="MS Mincho" w:cs="Arial"/>
          <w:szCs w:val="20"/>
        </w:rPr>
        <w:t>Company X</w:t>
      </w:r>
      <w:r w:rsidRPr="002A7256">
        <w:rPr>
          <w:rFonts w:eastAsia="MS Mincho" w:cs="Arial"/>
          <w:szCs w:val="20"/>
        </w:rPr>
        <w:t xml:space="preserve"> reserves the right to notify the appropriate law enforcement authorities of any unlawful activity and to cooperate in any investigation of such activity. </w:t>
      </w:r>
      <w:r w:rsidR="00472113">
        <w:rPr>
          <w:rFonts w:eastAsia="MS Mincho" w:cs="Arial"/>
          <w:szCs w:val="20"/>
        </w:rPr>
        <w:t>Company X</w:t>
      </w:r>
      <w:r w:rsidRPr="002A7256">
        <w:rPr>
          <w:rFonts w:eastAsia="MS Mincho" w:cs="Arial"/>
          <w:szCs w:val="20"/>
        </w:rPr>
        <w:t xml:space="preserve"> does not consider </w:t>
      </w:r>
      <w:r w:rsidRPr="00F41A3B">
        <w:rPr>
          <w:rFonts w:eastAsia="MS Mincho" w:cs="Arial"/>
          <w:szCs w:val="20"/>
        </w:rPr>
        <w:t>willful and deliberate</w:t>
      </w:r>
      <w:r>
        <w:rPr>
          <w:rFonts w:eastAsia="MS Mincho" w:cs="Arial"/>
          <w:szCs w:val="20"/>
        </w:rPr>
        <w:t xml:space="preserve"> </w:t>
      </w:r>
      <w:r w:rsidRPr="002A7256">
        <w:rPr>
          <w:rFonts w:eastAsia="MS Mincho" w:cs="Arial"/>
          <w:szCs w:val="20"/>
        </w:rPr>
        <w:t xml:space="preserve">conduct </w:t>
      </w:r>
      <w:r>
        <w:rPr>
          <w:rFonts w:eastAsia="MS Mincho" w:cs="Arial"/>
          <w:szCs w:val="20"/>
        </w:rPr>
        <w:t xml:space="preserve">that is </w:t>
      </w:r>
      <w:r w:rsidRPr="002A7256">
        <w:rPr>
          <w:rFonts w:eastAsia="MS Mincho" w:cs="Arial"/>
          <w:szCs w:val="20"/>
        </w:rPr>
        <w:t xml:space="preserve">in violation of this policy to be within an employee’s or partner’s course and scope of employment, or the direct </w:t>
      </w:r>
      <w:r w:rsidRPr="002A7256">
        <w:rPr>
          <w:rFonts w:eastAsia="MS Mincho" w:cs="Arial"/>
          <w:szCs w:val="20"/>
        </w:rPr>
        <w:lastRenderedPageBreak/>
        <w:t xml:space="preserve">consequence of the discharge of the employee’s or partner’s duties. Accordingly, to the extent permitted by law, </w:t>
      </w:r>
      <w:r w:rsidR="00472113">
        <w:rPr>
          <w:rFonts w:eastAsia="MS Mincho" w:cs="Arial"/>
          <w:szCs w:val="20"/>
        </w:rPr>
        <w:t>Company X</w:t>
      </w:r>
      <w:r w:rsidRPr="002A7256">
        <w:rPr>
          <w:rFonts w:eastAsia="MS Mincho" w:cs="Arial"/>
          <w:szCs w:val="20"/>
        </w:rPr>
        <w:t xml:space="preserve"> reserves the right not to defend or pay any damages awarded against employees or partners that result from violation of this policy.</w:t>
      </w:r>
    </w:p>
    <w:p w:rsidR="0098484E" w:rsidRPr="003F09FA" w:rsidRDefault="0098484E" w:rsidP="0098484E">
      <w:pPr>
        <w:pStyle w:val="PolicyElementHeader"/>
        <w:rPr>
          <w:bCs/>
          <w:color w:val="00527A"/>
        </w:rPr>
      </w:pPr>
      <w:bookmarkStart w:id="28" w:name="_Toc441740852"/>
      <w:bookmarkStart w:id="29" w:name="_Toc442134112"/>
      <w:r w:rsidRPr="003F09FA">
        <w:rPr>
          <w:bCs/>
          <w:color w:val="00527A"/>
        </w:rPr>
        <w:t>Definitions</w:t>
      </w:r>
      <w:bookmarkEnd w:id="28"/>
      <w:bookmarkEnd w:id="29"/>
    </w:p>
    <w:p w:rsidR="00A01174" w:rsidRDefault="00A01174" w:rsidP="00A01174">
      <w:pPr>
        <w:pStyle w:val="StylePolicyDefinitionNotBold"/>
      </w:pPr>
      <w:r w:rsidRPr="00C21BF8">
        <w:rPr>
          <w:rStyle w:val="PolicyDefinitionChar"/>
        </w:rPr>
        <w:t>Confidential Information (Sensitive Information)</w:t>
      </w:r>
      <w:r w:rsidRPr="00C21BF8">
        <w:t xml:space="preserve"> – Any </w:t>
      </w:r>
      <w:r>
        <w:t>Company X</w:t>
      </w:r>
      <w:r w:rsidRPr="00C21BF8">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r>
        <w:t>Company X</w:t>
      </w:r>
      <w:r w:rsidRPr="00C21BF8">
        <w:t xml:space="preserve"> from a third party under a non-disclosure agreement</w:t>
      </w:r>
    </w:p>
    <w:p w:rsidR="007129D9" w:rsidRDefault="007129D9" w:rsidP="007129D9">
      <w:pPr>
        <w:spacing w:after="120"/>
        <w:jc w:val="both"/>
        <w:rPr>
          <w:bCs/>
        </w:rPr>
      </w:pPr>
      <w:r>
        <w:rPr>
          <w:b/>
          <w:bCs/>
        </w:rPr>
        <w:t xml:space="preserve">Information Asset – </w:t>
      </w:r>
      <w:r w:rsidRPr="00D62668">
        <w:rPr>
          <w:bCs/>
        </w:rPr>
        <w:t xml:space="preserve">Any </w:t>
      </w:r>
      <w:r w:rsidR="00472113">
        <w:t>Company X</w:t>
      </w:r>
      <w:r w:rsidRPr="00D62668">
        <w:rPr>
          <w:bCs/>
        </w:rPr>
        <w:t xml:space="preserve"> data in any form, and the equipment used to manage, process, or store </w:t>
      </w:r>
      <w:r w:rsidR="00472113">
        <w:rPr>
          <w:bCs/>
        </w:rPr>
        <w:t>Company X</w:t>
      </w:r>
      <w:r w:rsidRPr="00D62668">
        <w:rPr>
          <w:bCs/>
        </w:rPr>
        <w:t xml:space="preserve"> data, that is used in the course of executing business.  This includes, but is not limited to, corporate, customer, and partner data.</w:t>
      </w:r>
    </w:p>
    <w:p w:rsidR="0010450D" w:rsidRDefault="0010450D" w:rsidP="007129D9">
      <w:pPr>
        <w:spacing w:after="120"/>
        <w:jc w:val="both"/>
        <w:rPr>
          <w:b/>
          <w:bCs/>
        </w:rPr>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7129D9" w:rsidRDefault="00736D1C" w:rsidP="007129D9">
      <w:pPr>
        <w:spacing w:after="120"/>
        <w:jc w:val="both"/>
      </w:pPr>
      <w:r>
        <w:rPr>
          <w:b/>
          <w:bCs/>
        </w:rPr>
        <w:t>Third-Party</w:t>
      </w:r>
      <w:r w:rsidR="00A01174">
        <w:rPr>
          <w:b/>
          <w:bCs/>
        </w:rPr>
        <w:t xml:space="preserve"> (Partner)</w:t>
      </w:r>
      <w:r w:rsidRPr="00CA3C71">
        <w:rPr>
          <w:b/>
        </w:rPr>
        <w:t xml:space="preserve"> </w:t>
      </w:r>
      <w:r w:rsidR="007129D9" w:rsidRPr="00CA3C71">
        <w:rPr>
          <w:b/>
        </w:rPr>
        <w:t xml:space="preserve">– </w:t>
      </w:r>
      <w:r w:rsidR="007129D9" w:rsidRPr="0034512D">
        <w:t xml:space="preserve">Any non-employee of </w:t>
      </w:r>
      <w:r w:rsidR="00472113">
        <w:t>Company X</w:t>
      </w:r>
      <w:r w:rsidR="007129D9" w:rsidRPr="0034512D">
        <w:t xml:space="preserve"> who is contractually bound to provide some form of service to </w:t>
      </w:r>
      <w:r w:rsidR="00472113">
        <w:t>Company X</w:t>
      </w:r>
      <w:r w:rsidR="007129D9" w:rsidRPr="0034512D">
        <w:t>.</w:t>
      </w:r>
    </w:p>
    <w:p w:rsidR="00F51BD1" w:rsidRDefault="007129D9" w:rsidP="007129D9">
      <w:pPr>
        <w:spacing w:after="120"/>
      </w:pPr>
      <w:r w:rsidRPr="00EC4A77">
        <w:rPr>
          <w:b/>
          <w:bCs/>
        </w:rPr>
        <w:t>User</w:t>
      </w:r>
      <w:r w:rsidRPr="00EC4A77">
        <w:rPr>
          <w:b/>
        </w:rPr>
        <w:t xml:space="preserve"> - </w:t>
      </w:r>
      <w:r w:rsidRPr="00EC4A77">
        <w:t xml:space="preserve">Any </w:t>
      </w:r>
      <w:r w:rsidR="00472113">
        <w:t>Company X</w:t>
      </w:r>
      <w:r w:rsidRPr="00EC4A77">
        <w:t xml:space="preserve"> employee or partner who has been authorized to access any </w:t>
      </w:r>
      <w:r w:rsidR="00472113">
        <w:t>Company X</w:t>
      </w:r>
      <w:r w:rsidRPr="00EC4A77">
        <w:t xml:space="preserve"> electronic information resource.</w:t>
      </w:r>
    </w:p>
    <w:p w:rsidR="00D13DA3" w:rsidRDefault="00D13DA3" w:rsidP="00D13DA3">
      <w:pPr>
        <w:pStyle w:val="PolicyElementHeader"/>
        <w:rPr>
          <w:color w:val="00527A"/>
          <w:szCs w:val="28"/>
        </w:rPr>
      </w:pPr>
      <w:bookmarkStart w:id="30" w:name="_Toc178155364"/>
      <w:bookmarkStart w:id="31" w:name="_Toc442134113"/>
      <w:r>
        <w:rPr>
          <w:color w:val="00527A"/>
          <w:szCs w:val="28"/>
        </w:rPr>
        <w:t>References</w:t>
      </w:r>
      <w:bookmarkEnd w:id="30"/>
      <w:bookmarkEnd w:id="31"/>
    </w:p>
    <w:p w:rsidR="001F70A7" w:rsidRDefault="001F70A7" w:rsidP="001F70A7">
      <w:pPr>
        <w:rPr>
          <w:bCs/>
        </w:rPr>
      </w:pPr>
      <w:bookmarkStart w:id="32" w:name="_Toc394566065"/>
      <w:bookmarkStart w:id="33" w:name="_Toc442134114"/>
      <w:r>
        <w:rPr>
          <w:bCs/>
        </w:rPr>
        <w:t>CPL: 7.1. Personnel Security Management</w:t>
      </w:r>
    </w:p>
    <w:p w:rsidR="001F70A7" w:rsidRDefault="001F70A7" w:rsidP="001F70A7">
      <w:r w:rsidRPr="007D37A8">
        <w:rPr>
          <w:bCs/>
        </w:rPr>
        <w:t>ISO/IEC 27002</w:t>
      </w:r>
      <w:r>
        <w:t>:</w:t>
      </w:r>
      <w:r w:rsidRPr="007D37A8">
        <w:rPr>
          <w:iCs/>
        </w:rPr>
        <w:t xml:space="preserve"> </w:t>
      </w:r>
      <w:r>
        <w:t>7</w:t>
      </w:r>
      <w:r w:rsidRPr="00B63C2D">
        <w:t>.</w:t>
      </w:r>
      <w:r>
        <w:t xml:space="preserve"> Human Resources Security</w:t>
      </w:r>
    </w:p>
    <w:p w:rsidR="001F70A7" w:rsidRDefault="001F70A7" w:rsidP="001F70A7">
      <w:r w:rsidRPr="00BB405B">
        <w:t>NIST: Personnel Security (PS)</w:t>
      </w:r>
    </w:p>
    <w:p w:rsidR="001F70A7" w:rsidRDefault="001F70A7" w:rsidP="001F70A7">
      <w:r w:rsidRPr="00FF4B3B">
        <w:t>PCI</w:t>
      </w:r>
      <w:r>
        <w:t>-DSS</w:t>
      </w:r>
      <w:r w:rsidRPr="00FF4B3B">
        <w:t xml:space="preserve">: </w:t>
      </w:r>
      <w:r w:rsidRPr="00BB405B">
        <w:t>PCI: 12.6.1 Employee Training</w:t>
      </w:r>
    </w:p>
    <w:p w:rsidR="001F70A7" w:rsidRDefault="001F70A7" w:rsidP="001F70A7">
      <w:r w:rsidRPr="00EF7D0D">
        <w:t>HIPAA: Workforce Security 164.308(a)(3)</w:t>
      </w:r>
    </w:p>
    <w:p w:rsidR="00A01174" w:rsidRPr="00EF734B" w:rsidRDefault="00A01174" w:rsidP="00A01174">
      <w:pPr>
        <w:pStyle w:val="PolicyElementHeader"/>
        <w:rPr>
          <w:bCs/>
          <w:color w:val="00527A"/>
        </w:rPr>
      </w:pPr>
      <w:bookmarkStart w:id="34" w:name="_Toc241985858"/>
      <w:bookmarkStart w:id="35" w:name="_Toc457905725"/>
      <w:r w:rsidRPr="00EF734B">
        <w:rPr>
          <w:bCs/>
          <w:color w:val="00527A"/>
        </w:rPr>
        <w:t>Approval and Ownership</w:t>
      </w:r>
      <w:bookmarkEnd w:id="34"/>
      <w:bookmarkEnd w:id="35"/>
    </w:p>
    <w:tbl>
      <w:tblPr>
        <w:tblpPr w:leftFromText="180" w:rightFromText="180" w:vertAnchor="text" w:horzAnchor="margin" w:tblpXSpec="center" w:tblpY="1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A01174" w:rsidTr="004641EB">
        <w:trPr>
          <w:trHeight w:val="346"/>
        </w:trPr>
        <w:tc>
          <w:tcPr>
            <w:tcW w:w="2520" w:type="dxa"/>
            <w:shd w:val="pct10" w:color="auto" w:fill="auto"/>
            <w:tcMar>
              <w:top w:w="29" w:type="dxa"/>
              <w:left w:w="115" w:type="dxa"/>
              <w:bottom w:w="29" w:type="dxa"/>
              <w:right w:w="115" w:type="dxa"/>
            </w:tcMar>
            <w:vAlign w:val="center"/>
          </w:tcPr>
          <w:p w:rsidR="00A01174" w:rsidRDefault="00A01174" w:rsidP="004641EB">
            <w:pPr>
              <w:pStyle w:val="FooterTableHeader"/>
            </w:pPr>
            <w:r>
              <w:t>Owner</w:t>
            </w:r>
          </w:p>
        </w:tc>
        <w:tc>
          <w:tcPr>
            <w:tcW w:w="2520" w:type="dxa"/>
            <w:shd w:val="pct10" w:color="auto" w:fill="auto"/>
            <w:tcMar>
              <w:top w:w="29" w:type="dxa"/>
              <w:left w:w="115" w:type="dxa"/>
              <w:bottom w:w="29" w:type="dxa"/>
              <w:right w:w="115" w:type="dxa"/>
            </w:tcMar>
            <w:vAlign w:val="center"/>
          </w:tcPr>
          <w:p w:rsidR="00A01174" w:rsidRDefault="00A01174" w:rsidP="004641EB">
            <w:pPr>
              <w:pStyle w:val="FooterTableHeader"/>
            </w:pPr>
            <w:r>
              <w:t>Title</w:t>
            </w:r>
          </w:p>
        </w:tc>
        <w:tc>
          <w:tcPr>
            <w:tcW w:w="1980" w:type="dxa"/>
            <w:shd w:val="pct10" w:color="auto" w:fill="auto"/>
            <w:tcMar>
              <w:top w:w="29" w:type="dxa"/>
              <w:left w:w="115" w:type="dxa"/>
              <w:bottom w:w="29" w:type="dxa"/>
              <w:right w:w="115" w:type="dxa"/>
            </w:tcMar>
            <w:vAlign w:val="center"/>
          </w:tcPr>
          <w:p w:rsidR="00A01174" w:rsidRDefault="00A01174" w:rsidP="004641EB">
            <w:pPr>
              <w:pStyle w:val="FooterTableHeader"/>
            </w:pPr>
            <w:r>
              <w:t>Date</w:t>
            </w:r>
          </w:p>
        </w:tc>
        <w:tc>
          <w:tcPr>
            <w:tcW w:w="2340" w:type="dxa"/>
            <w:shd w:val="pct10" w:color="auto" w:fill="auto"/>
            <w:tcMar>
              <w:top w:w="29" w:type="dxa"/>
              <w:left w:w="115" w:type="dxa"/>
              <w:bottom w:w="29" w:type="dxa"/>
              <w:right w:w="115" w:type="dxa"/>
            </w:tcMar>
            <w:vAlign w:val="center"/>
          </w:tcPr>
          <w:p w:rsidR="00A01174" w:rsidRDefault="00A01174" w:rsidP="004641EB">
            <w:pPr>
              <w:pStyle w:val="FooterTableHeader"/>
            </w:pPr>
            <w:r>
              <w:t>Signature</w:t>
            </w:r>
          </w:p>
        </w:tc>
      </w:tr>
      <w:tr w:rsidR="00A01174" w:rsidTr="004641EB">
        <w:trPr>
          <w:trHeight w:val="346"/>
        </w:trPr>
        <w:tc>
          <w:tcPr>
            <w:tcW w:w="2520" w:type="dxa"/>
            <w:tcBorders>
              <w:bottom w:val="single" w:sz="4" w:space="0" w:color="auto"/>
            </w:tcBorders>
            <w:tcMar>
              <w:top w:w="29" w:type="dxa"/>
              <w:left w:w="115" w:type="dxa"/>
              <w:bottom w:w="29" w:type="dxa"/>
              <w:right w:w="115" w:type="dxa"/>
            </w:tcMar>
            <w:vAlign w:val="center"/>
          </w:tcPr>
          <w:p w:rsidR="00A01174" w:rsidRPr="0043775C" w:rsidRDefault="00A01174" w:rsidP="004641EB">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A01174" w:rsidRPr="0043775C" w:rsidRDefault="00A01174" w:rsidP="004641EB">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A01174" w:rsidRPr="0043775C" w:rsidRDefault="00A01174" w:rsidP="004641EB">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A01174" w:rsidRDefault="00A01174" w:rsidP="004641EB">
            <w:pPr>
              <w:jc w:val="center"/>
            </w:pPr>
          </w:p>
        </w:tc>
      </w:tr>
      <w:tr w:rsidR="00A01174" w:rsidTr="004641EB">
        <w:trPr>
          <w:trHeight w:val="346"/>
        </w:trPr>
        <w:tc>
          <w:tcPr>
            <w:tcW w:w="2520" w:type="dxa"/>
            <w:shd w:val="pct10" w:color="auto" w:fill="auto"/>
            <w:tcMar>
              <w:top w:w="29" w:type="dxa"/>
              <w:left w:w="115" w:type="dxa"/>
              <w:bottom w:w="29" w:type="dxa"/>
              <w:right w:w="115" w:type="dxa"/>
            </w:tcMar>
            <w:vAlign w:val="center"/>
          </w:tcPr>
          <w:p w:rsidR="00A01174" w:rsidRDefault="00A01174" w:rsidP="004641EB">
            <w:pPr>
              <w:pStyle w:val="FooterTableHeader"/>
            </w:pPr>
            <w:r>
              <w:t>Approved By</w:t>
            </w:r>
          </w:p>
        </w:tc>
        <w:tc>
          <w:tcPr>
            <w:tcW w:w="2520" w:type="dxa"/>
            <w:shd w:val="pct10" w:color="auto" w:fill="auto"/>
            <w:tcMar>
              <w:top w:w="29" w:type="dxa"/>
              <w:left w:w="115" w:type="dxa"/>
              <w:bottom w:w="29" w:type="dxa"/>
              <w:right w:w="115" w:type="dxa"/>
            </w:tcMar>
            <w:vAlign w:val="center"/>
          </w:tcPr>
          <w:p w:rsidR="00A01174" w:rsidRDefault="00A01174" w:rsidP="004641EB">
            <w:pPr>
              <w:pStyle w:val="FooterTableHeader"/>
            </w:pPr>
            <w:r>
              <w:t>Title</w:t>
            </w:r>
          </w:p>
        </w:tc>
        <w:tc>
          <w:tcPr>
            <w:tcW w:w="1980" w:type="dxa"/>
            <w:shd w:val="pct10" w:color="auto" w:fill="auto"/>
            <w:tcMar>
              <w:top w:w="29" w:type="dxa"/>
              <w:left w:w="115" w:type="dxa"/>
              <w:bottom w:w="29" w:type="dxa"/>
              <w:right w:w="115" w:type="dxa"/>
            </w:tcMar>
            <w:vAlign w:val="center"/>
          </w:tcPr>
          <w:p w:rsidR="00A01174" w:rsidRDefault="00A01174" w:rsidP="004641EB">
            <w:pPr>
              <w:pStyle w:val="FooterTableHeader"/>
            </w:pPr>
            <w:r>
              <w:t>Date</w:t>
            </w:r>
          </w:p>
        </w:tc>
        <w:tc>
          <w:tcPr>
            <w:tcW w:w="2340" w:type="dxa"/>
            <w:shd w:val="pct10" w:color="auto" w:fill="auto"/>
            <w:tcMar>
              <w:top w:w="29" w:type="dxa"/>
              <w:left w:w="115" w:type="dxa"/>
              <w:bottom w:w="29" w:type="dxa"/>
              <w:right w:w="115" w:type="dxa"/>
            </w:tcMar>
            <w:vAlign w:val="center"/>
          </w:tcPr>
          <w:p w:rsidR="00A01174" w:rsidRDefault="00A01174" w:rsidP="004641EB">
            <w:pPr>
              <w:pStyle w:val="FooterTableHeader"/>
            </w:pPr>
            <w:r>
              <w:t>Signature</w:t>
            </w:r>
          </w:p>
        </w:tc>
      </w:tr>
      <w:tr w:rsidR="00A01174" w:rsidTr="004641EB">
        <w:trPr>
          <w:trHeight w:val="346"/>
        </w:trPr>
        <w:tc>
          <w:tcPr>
            <w:tcW w:w="2520" w:type="dxa"/>
            <w:tcMar>
              <w:top w:w="29" w:type="dxa"/>
              <w:left w:w="115" w:type="dxa"/>
              <w:bottom w:w="29" w:type="dxa"/>
              <w:right w:w="115" w:type="dxa"/>
            </w:tcMar>
            <w:vAlign w:val="center"/>
          </w:tcPr>
          <w:p w:rsidR="00A01174" w:rsidRPr="0043775C" w:rsidRDefault="00A01174" w:rsidP="004641EB">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A01174" w:rsidRPr="0043775C" w:rsidRDefault="00A01174" w:rsidP="004641EB">
            <w:pPr>
              <w:pStyle w:val="PolicyHeaderFill"/>
            </w:pPr>
            <w:r>
              <w:t>Title</w:t>
            </w:r>
          </w:p>
        </w:tc>
        <w:tc>
          <w:tcPr>
            <w:tcW w:w="1980" w:type="dxa"/>
            <w:tcMar>
              <w:top w:w="29" w:type="dxa"/>
              <w:left w:w="115" w:type="dxa"/>
              <w:bottom w:w="29" w:type="dxa"/>
              <w:right w:w="115" w:type="dxa"/>
            </w:tcMar>
            <w:vAlign w:val="center"/>
          </w:tcPr>
          <w:p w:rsidR="00A01174" w:rsidRPr="0043775C" w:rsidRDefault="00A01174" w:rsidP="004641EB">
            <w:pPr>
              <w:pStyle w:val="PolicyHeaderFill"/>
            </w:pPr>
            <w:r>
              <w:t>MM/DD/YYYY</w:t>
            </w:r>
          </w:p>
        </w:tc>
        <w:tc>
          <w:tcPr>
            <w:tcW w:w="2340" w:type="dxa"/>
            <w:tcMar>
              <w:top w:w="29" w:type="dxa"/>
              <w:left w:w="115" w:type="dxa"/>
              <w:bottom w:w="29" w:type="dxa"/>
              <w:right w:w="115" w:type="dxa"/>
            </w:tcMar>
            <w:vAlign w:val="center"/>
          </w:tcPr>
          <w:p w:rsidR="00A01174" w:rsidRDefault="00A01174" w:rsidP="004641EB">
            <w:pPr>
              <w:jc w:val="center"/>
            </w:pPr>
          </w:p>
        </w:tc>
      </w:tr>
    </w:tbl>
    <w:p w:rsidR="00A01174" w:rsidRPr="00EF734B" w:rsidRDefault="00A01174" w:rsidP="00A01174">
      <w:pPr>
        <w:pStyle w:val="PolicyElementHeader"/>
        <w:rPr>
          <w:bCs/>
          <w:color w:val="00527A"/>
        </w:rPr>
      </w:pPr>
      <w:bookmarkStart w:id="36" w:name="_Toc241985859"/>
      <w:bookmarkStart w:id="37" w:name="_Toc457905726"/>
      <w:r w:rsidRPr="00EF734B">
        <w:rPr>
          <w:bCs/>
          <w:color w:val="00527A"/>
        </w:rPr>
        <w:t>Revision History</w:t>
      </w:r>
      <w:bookmarkEnd w:id="36"/>
      <w:bookmarkEnd w:id="37"/>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A01174" w:rsidRPr="0076502A" w:rsidTr="004641EB">
        <w:trPr>
          <w:trHeight w:val="566"/>
        </w:trPr>
        <w:tc>
          <w:tcPr>
            <w:tcW w:w="624" w:type="pct"/>
            <w:shd w:val="pct10" w:color="auto" w:fill="auto"/>
            <w:vAlign w:val="center"/>
          </w:tcPr>
          <w:p w:rsidR="00A01174" w:rsidRPr="00DA209E" w:rsidRDefault="00A01174" w:rsidP="004641EB">
            <w:pPr>
              <w:pStyle w:val="FooterTableHeader"/>
            </w:pPr>
            <w:r w:rsidRPr="00DA209E">
              <w:t>Version</w:t>
            </w:r>
          </w:p>
        </w:tc>
        <w:tc>
          <w:tcPr>
            <w:tcW w:w="1540" w:type="pct"/>
            <w:shd w:val="pct10" w:color="auto" w:fill="auto"/>
            <w:vAlign w:val="center"/>
          </w:tcPr>
          <w:p w:rsidR="00A01174" w:rsidRPr="00DA209E" w:rsidRDefault="00A01174" w:rsidP="004641EB">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A01174" w:rsidRPr="00DA209E" w:rsidRDefault="00A01174" w:rsidP="004641EB">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A01174" w:rsidRPr="00DA209E" w:rsidRDefault="00A01174" w:rsidP="004641EB">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A01174" w:rsidRPr="00DA209E" w:rsidRDefault="00A01174" w:rsidP="004641EB">
            <w:pPr>
              <w:pStyle w:val="FooterTableHeader"/>
            </w:pPr>
            <w:r>
              <w:t>Reviewer/Approver</w:t>
            </w:r>
            <w:r w:rsidRPr="00DA209E">
              <w:br/>
              <w:t>Name</w:t>
            </w:r>
          </w:p>
        </w:tc>
      </w:tr>
      <w:tr w:rsidR="00A01174" w:rsidRPr="0076502A" w:rsidTr="004641EB">
        <w:trPr>
          <w:trHeight w:val="288"/>
        </w:trPr>
        <w:tc>
          <w:tcPr>
            <w:tcW w:w="624" w:type="pct"/>
            <w:vAlign w:val="center"/>
          </w:tcPr>
          <w:p w:rsidR="00A01174" w:rsidRPr="00DA209E" w:rsidRDefault="00A01174" w:rsidP="004641EB">
            <w:pPr>
              <w:pStyle w:val="PolicyHeaderFill"/>
            </w:pPr>
            <w:r w:rsidRPr="00DA209E">
              <w:t>1.0</w:t>
            </w:r>
          </w:p>
        </w:tc>
        <w:tc>
          <w:tcPr>
            <w:tcW w:w="1540" w:type="pct"/>
            <w:vAlign w:val="center"/>
          </w:tcPr>
          <w:p w:rsidR="00A01174" w:rsidRPr="00DA209E" w:rsidRDefault="00A01174" w:rsidP="004641EB">
            <w:pPr>
              <w:pStyle w:val="PolicyHeaderFill"/>
            </w:pPr>
            <w:r w:rsidRPr="00DA209E">
              <w:t>Initial Version</w:t>
            </w:r>
          </w:p>
        </w:tc>
        <w:tc>
          <w:tcPr>
            <w:tcW w:w="817" w:type="pct"/>
            <w:tcMar>
              <w:top w:w="29" w:type="dxa"/>
              <w:left w:w="115" w:type="dxa"/>
              <w:bottom w:w="29" w:type="dxa"/>
              <w:right w:w="115" w:type="dxa"/>
            </w:tcMar>
            <w:vAlign w:val="center"/>
          </w:tcPr>
          <w:p w:rsidR="00A01174" w:rsidRPr="00DA209E" w:rsidRDefault="00A01174" w:rsidP="004641EB">
            <w:pPr>
              <w:pStyle w:val="PolicyHeaderFill"/>
            </w:pPr>
            <w:r>
              <w:t>MM/DD/YYYY</w:t>
            </w:r>
          </w:p>
        </w:tc>
        <w:tc>
          <w:tcPr>
            <w:tcW w:w="817" w:type="pct"/>
            <w:tcMar>
              <w:top w:w="29" w:type="dxa"/>
              <w:left w:w="115" w:type="dxa"/>
              <w:bottom w:w="29" w:type="dxa"/>
              <w:right w:w="115" w:type="dxa"/>
            </w:tcMar>
            <w:vAlign w:val="center"/>
          </w:tcPr>
          <w:p w:rsidR="00A01174" w:rsidRPr="00DA209E" w:rsidRDefault="00A01174" w:rsidP="004641EB">
            <w:pPr>
              <w:pStyle w:val="PolicyHeaderFill"/>
            </w:pPr>
            <w:r>
              <w:t>MM/DD/YYYY</w:t>
            </w:r>
          </w:p>
        </w:tc>
        <w:tc>
          <w:tcPr>
            <w:tcW w:w="1202" w:type="pct"/>
            <w:tcMar>
              <w:top w:w="29" w:type="dxa"/>
              <w:left w:w="115" w:type="dxa"/>
              <w:bottom w:w="29" w:type="dxa"/>
              <w:right w:w="115" w:type="dxa"/>
            </w:tcMar>
            <w:vAlign w:val="center"/>
          </w:tcPr>
          <w:p w:rsidR="00A01174" w:rsidRPr="0076502A" w:rsidRDefault="00A01174" w:rsidP="004641EB">
            <w:pPr>
              <w:pStyle w:val="PolicyHeaderFill"/>
            </w:pPr>
          </w:p>
        </w:tc>
      </w:tr>
      <w:tr w:rsidR="00A01174" w:rsidRPr="0076502A" w:rsidTr="004641EB">
        <w:trPr>
          <w:trHeight w:val="288"/>
        </w:trPr>
        <w:tc>
          <w:tcPr>
            <w:tcW w:w="624" w:type="pct"/>
            <w:vAlign w:val="center"/>
          </w:tcPr>
          <w:p w:rsidR="00A01174" w:rsidRPr="0076502A" w:rsidRDefault="00A01174" w:rsidP="004641EB">
            <w:pPr>
              <w:pStyle w:val="FooterTableHeader"/>
              <w:rPr>
                <w:rFonts w:ascii="Times New Roman" w:hAnsi="Times New Roman"/>
                <w:sz w:val="22"/>
                <w:szCs w:val="22"/>
              </w:rPr>
            </w:pPr>
          </w:p>
        </w:tc>
        <w:tc>
          <w:tcPr>
            <w:tcW w:w="1540" w:type="pct"/>
            <w:vAlign w:val="center"/>
          </w:tcPr>
          <w:p w:rsidR="00A01174" w:rsidRPr="0076502A" w:rsidRDefault="00A01174" w:rsidP="004641EB">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A01174" w:rsidRPr="0076502A" w:rsidRDefault="00A01174" w:rsidP="004641EB">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A01174" w:rsidRPr="003C1B8C" w:rsidRDefault="00A01174" w:rsidP="004641EB">
            <w:pPr>
              <w:pStyle w:val="PolicyHeaderFill"/>
            </w:pPr>
          </w:p>
        </w:tc>
        <w:tc>
          <w:tcPr>
            <w:tcW w:w="1202" w:type="pct"/>
            <w:tcMar>
              <w:top w:w="29" w:type="dxa"/>
              <w:left w:w="115" w:type="dxa"/>
              <w:bottom w:w="29" w:type="dxa"/>
              <w:right w:w="115" w:type="dxa"/>
            </w:tcMar>
            <w:vAlign w:val="center"/>
          </w:tcPr>
          <w:p w:rsidR="00A01174" w:rsidRPr="0076502A" w:rsidRDefault="00A01174" w:rsidP="004641EB">
            <w:pPr>
              <w:pStyle w:val="FooterTableHeader"/>
              <w:rPr>
                <w:rFonts w:ascii="Times New Roman" w:hAnsi="Times New Roman"/>
                <w:sz w:val="22"/>
                <w:szCs w:val="22"/>
              </w:rPr>
            </w:pPr>
          </w:p>
        </w:tc>
      </w:tr>
      <w:bookmarkEnd w:id="32"/>
      <w:bookmarkEnd w:id="33"/>
    </w:tbl>
    <w:p w:rsidR="003245CE" w:rsidRDefault="003245CE" w:rsidP="00A01174"/>
    <w:sectPr w:rsidR="003245CE"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1BA" w:rsidRDefault="001201BA">
      <w:r>
        <w:separator/>
      </w:r>
    </w:p>
    <w:p w:rsidR="001201BA" w:rsidRDefault="001201BA"/>
  </w:endnote>
  <w:endnote w:type="continuationSeparator" w:id="0">
    <w:p w:rsidR="001201BA" w:rsidRDefault="001201BA">
      <w:r>
        <w:continuationSeparator/>
      </w:r>
    </w:p>
    <w:p w:rsidR="001201BA" w:rsidRDefault="001201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472113" w:rsidP="00575A04">
    <w:pPr>
      <w:pStyle w:val="Footer"/>
    </w:pPr>
    <w:r>
      <w:t>Company X</w:t>
    </w:r>
    <w:r w:rsidR="00313E57">
      <w:t xml:space="preserve"> Security Policy</w:t>
    </w:r>
    <w:r w:rsidR="003C1B8C" w:rsidRPr="00575A04">
      <w:tab/>
      <w:t>CONFIDENTIAL</w:t>
    </w:r>
    <w:r w:rsidR="003C1B8C" w:rsidRPr="00575A04">
      <w:tab/>
    </w:r>
    <w:r w:rsidR="003C1B8C">
      <w:t xml:space="preserve">  </w:t>
    </w:r>
    <w:r w:rsidR="003C1B8C" w:rsidRPr="00575A04">
      <w:t xml:space="preserve">Page </w:t>
    </w:r>
    <w:r w:rsidR="0056414F">
      <w:fldChar w:fldCharType="begin"/>
    </w:r>
    <w:r w:rsidR="00EF1182">
      <w:instrText xml:space="preserve"> PAGE </w:instrText>
    </w:r>
    <w:r w:rsidR="0056414F">
      <w:fldChar w:fldCharType="separate"/>
    </w:r>
    <w:r w:rsidR="00BE0652">
      <w:rPr>
        <w:noProof/>
      </w:rPr>
      <w:t>5</w:t>
    </w:r>
    <w:r w:rsidR="0056414F">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1BA" w:rsidRDefault="001201BA">
      <w:r>
        <w:separator/>
      </w:r>
    </w:p>
    <w:p w:rsidR="001201BA" w:rsidRDefault="001201BA"/>
  </w:footnote>
  <w:footnote w:type="continuationSeparator" w:id="0">
    <w:p w:rsidR="001201BA" w:rsidRDefault="001201BA">
      <w:r>
        <w:continuationSeparator/>
      </w:r>
    </w:p>
    <w:p w:rsidR="001201BA" w:rsidRDefault="001201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06A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B28B8"/>
    <w:multiLevelType w:val="hybridMultilevel"/>
    <w:tmpl w:val="66401D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44D9A"/>
    <w:multiLevelType w:val="hybridMultilevel"/>
    <w:tmpl w:val="AE5A2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8F5801"/>
    <w:multiLevelType w:val="hybridMultilevel"/>
    <w:tmpl w:val="DDC6A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9"/>
  </w:num>
  <w:num w:numId="4">
    <w:abstractNumId w:val="8"/>
  </w:num>
  <w:num w:numId="5">
    <w:abstractNumId w:val="5"/>
  </w:num>
  <w:num w:numId="6">
    <w:abstractNumId w:val="6"/>
  </w:num>
  <w:num w:numId="7">
    <w:abstractNumId w:val="1"/>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2018"/>
    <w:rsid w:val="0000157F"/>
    <w:rsid w:val="000044E5"/>
    <w:rsid w:val="0003608C"/>
    <w:rsid w:val="00051520"/>
    <w:rsid w:val="00070DBD"/>
    <w:rsid w:val="00074BA0"/>
    <w:rsid w:val="00087738"/>
    <w:rsid w:val="000A6314"/>
    <w:rsid w:val="000B671B"/>
    <w:rsid w:val="000C06AA"/>
    <w:rsid w:val="000C5174"/>
    <w:rsid w:val="000F1A16"/>
    <w:rsid w:val="0010450D"/>
    <w:rsid w:val="001072C4"/>
    <w:rsid w:val="00107EC2"/>
    <w:rsid w:val="001116EE"/>
    <w:rsid w:val="001201BA"/>
    <w:rsid w:val="00143AFF"/>
    <w:rsid w:val="0016248C"/>
    <w:rsid w:val="0016703E"/>
    <w:rsid w:val="00191375"/>
    <w:rsid w:val="001B3246"/>
    <w:rsid w:val="001B556F"/>
    <w:rsid w:val="001E5FFA"/>
    <w:rsid w:val="001F1048"/>
    <w:rsid w:val="001F70A7"/>
    <w:rsid w:val="00220F4D"/>
    <w:rsid w:val="00222CF1"/>
    <w:rsid w:val="00244229"/>
    <w:rsid w:val="00253D9B"/>
    <w:rsid w:val="00255B11"/>
    <w:rsid w:val="0025728D"/>
    <w:rsid w:val="0029313E"/>
    <w:rsid w:val="002A1334"/>
    <w:rsid w:val="002A7256"/>
    <w:rsid w:val="002B50C6"/>
    <w:rsid w:val="00307C3B"/>
    <w:rsid w:val="0031082D"/>
    <w:rsid w:val="00313E57"/>
    <w:rsid w:val="003162F7"/>
    <w:rsid w:val="003245CE"/>
    <w:rsid w:val="00361B2D"/>
    <w:rsid w:val="00364588"/>
    <w:rsid w:val="00373D4F"/>
    <w:rsid w:val="00385F82"/>
    <w:rsid w:val="00395649"/>
    <w:rsid w:val="00397D8F"/>
    <w:rsid w:val="003C1B8C"/>
    <w:rsid w:val="003D02A5"/>
    <w:rsid w:val="003F09FA"/>
    <w:rsid w:val="00400FC8"/>
    <w:rsid w:val="00411FEC"/>
    <w:rsid w:val="004254C1"/>
    <w:rsid w:val="00451671"/>
    <w:rsid w:val="00472113"/>
    <w:rsid w:val="00481967"/>
    <w:rsid w:val="00481C65"/>
    <w:rsid w:val="00491984"/>
    <w:rsid w:val="004D2353"/>
    <w:rsid w:val="004D37EB"/>
    <w:rsid w:val="004E2CB7"/>
    <w:rsid w:val="004F7469"/>
    <w:rsid w:val="00505B04"/>
    <w:rsid w:val="0051524F"/>
    <w:rsid w:val="00555CFC"/>
    <w:rsid w:val="00557B29"/>
    <w:rsid w:val="0056414F"/>
    <w:rsid w:val="00565990"/>
    <w:rsid w:val="00565B97"/>
    <w:rsid w:val="00575A04"/>
    <w:rsid w:val="005A4B62"/>
    <w:rsid w:val="005B23C5"/>
    <w:rsid w:val="005D12B6"/>
    <w:rsid w:val="005D52B4"/>
    <w:rsid w:val="005E37B9"/>
    <w:rsid w:val="005F45F1"/>
    <w:rsid w:val="006173D9"/>
    <w:rsid w:val="006200A9"/>
    <w:rsid w:val="0062107D"/>
    <w:rsid w:val="00630DCA"/>
    <w:rsid w:val="006510F6"/>
    <w:rsid w:val="00653F92"/>
    <w:rsid w:val="00667AE6"/>
    <w:rsid w:val="00667E8A"/>
    <w:rsid w:val="00673932"/>
    <w:rsid w:val="00684D1E"/>
    <w:rsid w:val="0068601F"/>
    <w:rsid w:val="006B7B43"/>
    <w:rsid w:val="006C099D"/>
    <w:rsid w:val="006E4B35"/>
    <w:rsid w:val="006F71EC"/>
    <w:rsid w:val="007129D9"/>
    <w:rsid w:val="00736D1C"/>
    <w:rsid w:val="0077342D"/>
    <w:rsid w:val="00775AB4"/>
    <w:rsid w:val="007844D5"/>
    <w:rsid w:val="00787A1D"/>
    <w:rsid w:val="00792113"/>
    <w:rsid w:val="007C1D94"/>
    <w:rsid w:val="007D37A8"/>
    <w:rsid w:val="007F61A2"/>
    <w:rsid w:val="008063B7"/>
    <w:rsid w:val="008314F4"/>
    <w:rsid w:val="00853487"/>
    <w:rsid w:val="0086465F"/>
    <w:rsid w:val="0086765C"/>
    <w:rsid w:val="00896FE2"/>
    <w:rsid w:val="00897169"/>
    <w:rsid w:val="00924538"/>
    <w:rsid w:val="009246D3"/>
    <w:rsid w:val="00950782"/>
    <w:rsid w:val="00955117"/>
    <w:rsid w:val="009715EE"/>
    <w:rsid w:val="00975083"/>
    <w:rsid w:val="0098484E"/>
    <w:rsid w:val="00990178"/>
    <w:rsid w:val="009A4764"/>
    <w:rsid w:val="009A6CDE"/>
    <w:rsid w:val="009B3637"/>
    <w:rsid w:val="009D5F8C"/>
    <w:rsid w:val="009F01BF"/>
    <w:rsid w:val="009F1103"/>
    <w:rsid w:val="00A01174"/>
    <w:rsid w:val="00A32B57"/>
    <w:rsid w:val="00A33801"/>
    <w:rsid w:val="00A4341D"/>
    <w:rsid w:val="00A437C9"/>
    <w:rsid w:val="00A72018"/>
    <w:rsid w:val="00A726A1"/>
    <w:rsid w:val="00AB1FAC"/>
    <w:rsid w:val="00AB5967"/>
    <w:rsid w:val="00AC0F82"/>
    <w:rsid w:val="00AD5BE0"/>
    <w:rsid w:val="00AF5689"/>
    <w:rsid w:val="00B36AF7"/>
    <w:rsid w:val="00B427DB"/>
    <w:rsid w:val="00B53867"/>
    <w:rsid w:val="00B57928"/>
    <w:rsid w:val="00B63BE4"/>
    <w:rsid w:val="00B704AF"/>
    <w:rsid w:val="00B87742"/>
    <w:rsid w:val="00BA21BA"/>
    <w:rsid w:val="00BA7551"/>
    <w:rsid w:val="00BC43D0"/>
    <w:rsid w:val="00BE0652"/>
    <w:rsid w:val="00BF1A5F"/>
    <w:rsid w:val="00C3337F"/>
    <w:rsid w:val="00C42E3E"/>
    <w:rsid w:val="00C51809"/>
    <w:rsid w:val="00C51C73"/>
    <w:rsid w:val="00C53F8F"/>
    <w:rsid w:val="00C76D3B"/>
    <w:rsid w:val="00C91FBB"/>
    <w:rsid w:val="00CD236D"/>
    <w:rsid w:val="00D13DA3"/>
    <w:rsid w:val="00D248F2"/>
    <w:rsid w:val="00D343E9"/>
    <w:rsid w:val="00D35111"/>
    <w:rsid w:val="00D37A2B"/>
    <w:rsid w:val="00D86AF2"/>
    <w:rsid w:val="00DA209E"/>
    <w:rsid w:val="00DD0B04"/>
    <w:rsid w:val="00DF667F"/>
    <w:rsid w:val="00E364EF"/>
    <w:rsid w:val="00E408FB"/>
    <w:rsid w:val="00E46AE8"/>
    <w:rsid w:val="00E474F5"/>
    <w:rsid w:val="00E81331"/>
    <w:rsid w:val="00EC5DB4"/>
    <w:rsid w:val="00EE14CA"/>
    <w:rsid w:val="00EF1182"/>
    <w:rsid w:val="00EF734B"/>
    <w:rsid w:val="00F07EAE"/>
    <w:rsid w:val="00F51BD1"/>
    <w:rsid w:val="00F863AA"/>
    <w:rsid w:val="00FC7E0F"/>
    <w:rsid w:val="00FE2000"/>
    <w:rsid w:val="00FF0E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19239"/>
  <w15:docId w15:val="{DA56AA9D-DBF8-4B93-A439-D69C704E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F863AA"/>
    <w:pPr>
      <w:keepNext/>
      <w:spacing w:before="240" w:after="60"/>
      <w:outlineLvl w:val="1"/>
    </w:pPr>
    <w:rPr>
      <w:rFonts w:ascii="Cambria" w:hAnsi="Cambria"/>
      <w:b/>
      <w:bCs/>
      <w:i/>
      <w:iCs/>
      <w:sz w:val="28"/>
      <w:szCs w:val="28"/>
    </w:rPr>
  </w:style>
  <w:style w:type="paragraph" w:styleId="Heading3">
    <w:name w:val="heading 3"/>
    <w:basedOn w:val="PolicySubheader"/>
    <w:next w:val="Normal"/>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5B23C5"/>
    <w:pPr>
      <w:widowControl w:val="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C91FBB"/>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0C06AA"/>
    <w:pPr>
      <w:widowControl w:val="0"/>
      <w:ind w:left="360"/>
    </w:pPr>
    <w:rPr>
      <w:szCs w:val="20"/>
    </w:rPr>
  </w:style>
  <w:style w:type="paragraph" w:customStyle="1" w:styleId="PolicyBodyText">
    <w:name w:val="Policy Body Text"/>
    <w:basedOn w:val="Normal"/>
    <w:link w:val="PolicyBodyTextChar"/>
    <w:qFormat/>
    <w:rsid w:val="00FF0E9E"/>
    <w:pPr>
      <w:spacing w:after="120"/>
      <w:ind w:left="360"/>
    </w:pPr>
    <w:rPr>
      <w:szCs w:val="20"/>
    </w:rPr>
  </w:style>
  <w:style w:type="paragraph" w:customStyle="1" w:styleId="PolicyText">
    <w:name w:val="Policy Text"/>
    <w:basedOn w:val="Normal"/>
    <w:rsid w:val="00FF0E9E"/>
    <w:pPr>
      <w:spacing w:after="120"/>
      <w:ind w:left="360"/>
    </w:pPr>
    <w:rPr>
      <w:szCs w:val="20"/>
    </w:rPr>
  </w:style>
  <w:style w:type="character" w:customStyle="1" w:styleId="Heading2Char">
    <w:name w:val="Heading 2 Char"/>
    <w:link w:val="Heading2"/>
    <w:semiHidden/>
    <w:rsid w:val="00F863AA"/>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F863AA"/>
    <w:pPr>
      <w:ind w:left="220"/>
    </w:pPr>
  </w:style>
  <w:style w:type="character" w:styleId="Emphasis">
    <w:name w:val="Emphasis"/>
    <w:qFormat/>
    <w:rsid w:val="00667AE6"/>
    <w:rPr>
      <w:i/>
      <w:iCs/>
    </w:rPr>
  </w:style>
  <w:style w:type="character" w:customStyle="1" w:styleId="PolicyBodyTextChar">
    <w:name w:val="Policy Body Text Char"/>
    <w:link w:val="PolicyBodyText"/>
    <w:rsid w:val="0031082D"/>
    <w:rPr>
      <w:rFonts w:ascii="Arial" w:hAnsi="Arial"/>
      <w:sz w:val="22"/>
    </w:rPr>
  </w:style>
  <w:style w:type="paragraph" w:customStyle="1" w:styleId="StylePolicyDefinitionNotBold">
    <w:name w:val="Style Policy Definition + Not Bold"/>
    <w:basedOn w:val="PolicyDefinition"/>
    <w:rsid w:val="00A01174"/>
    <w:pPr>
      <w:spacing w:after="12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neman\AppData\Roaming\Microsoft\Templates\Acceptable%20Use%20Policy%20-%20Exp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205628-B7CC-4FC8-A61F-35565F23B8F4}">
  <ds:schemaRefs>
    <ds:schemaRef ds:uri="http://schemas.openxmlformats.org/officeDocument/2006/bibliography"/>
  </ds:schemaRefs>
</ds:datastoreItem>
</file>

<file path=customXml/itemProps2.xml><?xml version="1.0" encoding="utf-8"?>
<ds:datastoreItem xmlns:ds="http://schemas.openxmlformats.org/officeDocument/2006/customXml" ds:itemID="{50A6C348-AF75-4D50-BD3F-42FC931A6D9E}"/>
</file>

<file path=customXml/itemProps3.xml><?xml version="1.0" encoding="utf-8"?>
<ds:datastoreItem xmlns:ds="http://schemas.openxmlformats.org/officeDocument/2006/customXml" ds:itemID="{73A94121-4C75-4FC4-8B6F-E371B93268E1}"/>
</file>

<file path=customXml/itemProps4.xml><?xml version="1.0" encoding="utf-8"?>
<ds:datastoreItem xmlns:ds="http://schemas.openxmlformats.org/officeDocument/2006/customXml" ds:itemID="{D47B64DA-931C-4EED-9D23-97929656FBE5}"/>
</file>

<file path=docProps/app.xml><?xml version="1.0" encoding="utf-8"?>
<Properties xmlns="http://schemas.openxmlformats.org/officeDocument/2006/extended-properties" xmlns:vt="http://schemas.openxmlformats.org/officeDocument/2006/docPropsVTypes">
  <Template>Acceptable Use Policy - Express</Template>
  <TotalTime>4</TotalTime>
  <Pages>1</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10815</CharactersWithSpaces>
  <SharedDoc>false</SharedDoc>
  <HLinks>
    <vt:vector size="84" baseType="variant">
      <vt:variant>
        <vt:i4>1114173</vt:i4>
      </vt:variant>
      <vt:variant>
        <vt:i4>80</vt:i4>
      </vt:variant>
      <vt:variant>
        <vt:i4>0</vt:i4>
      </vt:variant>
      <vt:variant>
        <vt:i4>5</vt:i4>
      </vt:variant>
      <vt:variant>
        <vt:lpwstr/>
      </vt:variant>
      <vt:variant>
        <vt:lpwstr>_Toc441494123</vt:lpwstr>
      </vt:variant>
      <vt:variant>
        <vt:i4>1114173</vt:i4>
      </vt:variant>
      <vt:variant>
        <vt:i4>74</vt:i4>
      </vt:variant>
      <vt:variant>
        <vt:i4>0</vt:i4>
      </vt:variant>
      <vt:variant>
        <vt:i4>5</vt:i4>
      </vt:variant>
      <vt:variant>
        <vt:lpwstr/>
      </vt:variant>
      <vt:variant>
        <vt:lpwstr>_Toc441494122</vt:lpwstr>
      </vt:variant>
      <vt:variant>
        <vt:i4>1114173</vt:i4>
      </vt:variant>
      <vt:variant>
        <vt:i4>68</vt:i4>
      </vt:variant>
      <vt:variant>
        <vt:i4>0</vt:i4>
      </vt:variant>
      <vt:variant>
        <vt:i4>5</vt:i4>
      </vt:variant>
      <vt:variant>
        <vt:lpwstr/>
      </vt:variant>
      <vt:variant>
        <vt:lpwstr>_Toc441494121</vt:lpwstr>
      </vt:variant>
      <vt:variant>
        <vt:i4>1114173</vt:i4>
      </vt:variant>
      <vt:variant>
        <vt:i4>62</vt:i4>
      </vt:variant>
      <vt:variant>
        <vt:i4>0</vt:i4>
      </vt:variant>
      <vt:variant>
        <vt:i4>5</vt:i4>
      </vt:variant>
      <vt:variant>
        <vt:lpwstr/>
      </vt:variant>
      <vt:variant>
        <vt:lpwstr>_Toc441494120</vt:lpwstr>
      </vt:variant>
      <vt:variant>
        <vt:i4>1179709</vt:i4>
      </vt:variant>
      <vt:variant>
        <vt:i4>56</vt:i4>
      </vt:variant>
      <vt:variant>
        <vt:i4>0</vt:i4>
      </vt:variant>
      <vt:variant>
        <vt:i4>5</vt:i4>
      </vt:variant>
      <vt:variant>
        <vt:lpwstr/>
      </vt:variant>
      <vt:variant>
        <vt:lpwstr>_Toc441494119</vt:lpwstr>
      </vt:variant>
      <vt:variant>
        <vt:i4>1179709</vt:i4>
      </vt:variant>
      <vt:variant>
        <vt:i4>50</vt:i4>
      </vt:variant>
      <vt:variant>
        <vt:i4>0</vt:i4>
      </vt:variant>
      <vt:variant>
        <vt:i4>5</vt:i4>
      </vt:variant>
      <vt:variant>
        <vt:lpwstr/>
      </vt:variant>
      <vt:variant>
        <vt:lpwstr>_Toc441494118</vt:lpwstr>
      </vt:variant>
      <vt:variant>
        <vt:i4>1179709</vt:i4>
      </vt:variant>
      <vt:variant>
        <vt:i4>44</vt:i4>
      </vt:variant>
      <vt:variant>
        <vt:i4>0</vt:i4>
      </vt:variant>
      <vt:variant>
        <vt:i4>5</vt:i4>
      </vt:variant>
      <vt:variant>
        <vt:lpwstr/>
      </vt:variant>
      <vt:variant>
        <vt:lpwstr>_Toc441494117</vt:lpwstr>
      </vt:variant>
      <vt:variant>
        <vt:i4>1179709</vt:i4>
      </vt:variant>
      <vt:variant>
        <vt:i4>38</vt:i4>
      </vt:variant>
      <vt:variant>
        <vt:i4>0</vt:i4>
      </vt:variant>
      <vt:variant>
        <vt:i4>5</vt:i4>
      </vt:variant>
      <vt:variant>
        <vt:lpwstr/>
      </vt:variant>
      <vt:variant>
        <vt:lpwstr>_Toc441494116</vt:lpwstr>
      </vt:variant>
      <vt:variant>
        <vt:i4>1179709</vt:i4>
      </vt:variant>
      <vt:variant>
        <vt:i4>32</vt:i4>
      </vt:variant>
      <vt:variant>
        <vt:i4>0</vt:i4>
      </vt:variant>
      <vt:variant>
        <vt:i4>5</vt:i4>
      </vt:variant>
      <vt:variant>
        <vt:lpwstr/>
      </vt:variant>
      <vt:variant>
        <vt:lpwstr>_Toc441494115</vt:lpwstr>
      </vt:variant>
      <vt:variant>
        <vt:i4>1179709</vt:i4>
      </vt:variant>
      <vt:variant>
        <vt:i4>26</vt:i4>
      </vt:variant>
      <vt:variant>
        <vt:i4>0</vt:i4>
      </vt:variant>
      <vt:variant>
        <vt:i4>5</vt:i4>
      </vt:variant>
      <vt:variant>
        <vt:lpwstr/>
      </vt:variant>
      <vt:variant>
        <vt:lpwstr>_Toc441494114</vt:lpwstr>
      </vt:variant>
      <vt:variant>
        <vt:i4>1179709</vt:i4>
      </vt:variant>
      <vt:variant>
        <vt:i4>20</vt:i4>
      </vt:variant>
      <vt:variant>
        <vt:i4>0</vt:i4>
      </vt:variant>
      <vt:variant>
        <vt:i4>5</vt:i4>
      </vt:variant>
      <vt:variant>
        <vt:lpwstr/>
      </vt:variant>
      <vt:variant>
        <vt:lpwstr>_Toc441494113</vt:lpwstr>
      </vt:variant>
      <vt:variant>
        <vt:i4>1179709</vt:i4>
      </vt:variant>
      <vt:variant>
        <vt:i4>14</vt:i4>
      </vt:variant>
      <vt:variant>
        <vt:i4>0</vt:i4>
      </vt:variant>
      <vt:variant>
        <vt:i4>5</vt:i4>
      </vt:variant>
      <vt:variant>
        <vt:lpwstr/>
      </vt:variant>
      <vt:variant>
        <vt:lpwstr>_Toc441494112</vt:lpwstr>
      </vt:variant>
      <vt:variant>
        <vt:i4>1179709</vt:i4>
      </vt:variant>
      <vt:variant>
        <vt:i4>8</vt:i4>
      </vt:variant>
      <vt:variant>
        <vt:i4>0</vt:i4>
      </vt:variant>
      <vt:variant>
        <vt:i4>5</vt:i4>
      </vt:variant>
      <vt:variant>
        <vt:lpwstr/>
      </vt:variant>
      <vt:variant>
        <vt:lpwstr>_Toc441494111</vt:lpwstr>
      </vt:variant>
      <vt:variant>
        <vt:i4>1179709</vt:i4>
      </vt:variant>
      <vt:variant>
        <vt:i4>2</vt:i4>
      </vt:variant>
      <vt:variant>
        <vt:i4>0</vt:i4>
      </vt:variant>
      <vt:variant>
        <vt:i4>5</vt:i4>
      </vt:variant>
      <vt:variant>
        <vt:lpwstr/>
      </vt:variant>
      <vt:variant>
        <vt:lpwstr>_Toc441494110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dlineman</dc:creator>
  <cp:keywords/>
  <cp:lastModifiedBy>Scott Parramore</cp:lastModifiedBy>
  <cp:revision>7</cp:revision>
  <dcterms:created xsi:type="dcterms:W3CDTF">2016-03-01T15:59:00Z</dcterms:created>
  <dcterms:modified xsi:type="dcterms:W3CDTF">2017-12-03T21:12:00Z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