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102"/>
        <w:gridCol w:w="1253"/>
        <w:gridCol w:w="1586"/>
        <w:gridCol w:w="1934"/>
        <w:gridCol w:w="809"/>
        <w:gridCol w:w="2892"/>
      </w:tblGrid>
      <w:tr w:rsidR="00D13DA3">
        <w:trPr>
          <w:trHeight w:val="498"/>
        </w:trPr>
        <w:tc>
          <w:tcPr>
            <w:tcW w:w="5000" w:type="pct"/>
            <w:gridSpan w:val="6"/>
            <w:tcBorders>
              <w:bottom w:val="nil"/>
            </w:tcBorders>
            <w:shd w:val="clear" w:color="auto" w:fill="auto"/>
            <w:vAlign w:val="bottom"/>
          </w:tcPr>
          <w:p w:rsidR="00D13DA3" w:rsidRPr="00C96DB6" w:rsidRDefault="00D13DA3" w:rsidP="002B50C6">
            <w:pPr>
              <w:pStyle w:val="MasterTitle"/>
            </w:pPr>
            <w:r w:rsidRPr="002E27B7">
              <w:t xml:space="preserve">Information </w:t>
            </w:r>
            <w:r w:rsidR="00575A04">
              <w:t>Security</w:t>
            </w:r>
            <w:r w:rsidRPr="002E27B7">
              <w:t xml:space="preserve"> Policies</w:t>
            </w:r>
          </w:p>
        </w:tc>
      </w:tr>
      <w:tr w:rsidR="00D13DA3">
        <w:tc>
          <w:tcPr>
            <w:tcW w:w="5000" w:type="pct"/>
            <w:gridSpan w:val="6"/>
            <w:tcBorders>
              <w:top w:val="nil"/>
              <w:bottom w:val="nil"/>
            </w:tcBorders>
            <w:shd w:val="clear" w:color="auto" w:fill="CCCCCC"/>
          </w:tcPr>
          <w:p w:rsidR="00D13DA3" w:rsidRPr="00FF6728" w:rsidRDefault="00E77547" w:rsidP="00FE4F35">
            <w:pPr>
              <w:pStyle w:val="policytitle"/>
            </w:pPr>
            <w:r>
              <w:t>Employee</w:t>
            </w:r>
            <w:r w:rsidR="00371E54">
              <w:t xml:space="preserve"> Privacy Management</w:t>
            </w:r>
            <w:r w:rsidR="007129D9" w:rsidRPr="007129D9">
              <w:t xml:space="preserve"> Policy</w:t>
            </w:r>
            <w:r w:rsidR="005C2F4E">
              <w:t xml:space="preserve"> </w:t>
            </w:r>
          </w:p>
        </w:tc>
      </w:tr>
      <w:tr w:rsidR="000A57CA" w:rsidTr="00CD0CEA">
        <w:tc>
          <w:tcPr>
            <w:tcW w:w="576" w:type="pct"/>
            <w:tcBorders>
              <w:top w:val="nil"/>
            </w:tcBorders>
            <w:shd w:val="clear" w:color="auto" w:fill="auto"/>
            <w:tcMar>
              <w:top w:w="29" w:type="dxa"/>
              <w:left w:w="115" w:type="dxa"/>
              <w:bottom w:w="29" w:type="dxa"/>
              <w:right w:w="115" w:type="dxa"/>
            </w:tcMar>
          </w:tcPr>
          <w:p w:rsidR="000A57CA" w:rsidRDefault="000A57CA" w:rsidP="002B50C6">
            <w:pPr>
              <w:pStyle w:val="PolicyHeaderLabel"/>
            </w:pPr>
            <w:r>
              <w:t>Policy #</w:t>
            </w:r>
          </w:p>
        </w:tc>
        <w:tc>
          <w:tcPr>
            <w:tcW w:w="654" w:type="pct"/>
            <w:tcBorders>
              <w:top w:val="nil"/>
            </w:tcBorders>
            <w:shd w:val="clear" w:color="auto" w:fill="auto"/>
            <w:tcMar>
              <w:top w:w="29" w:type="dxa"/>
              <w:left w:w="115" w:type="dxa"/>
              <w:bottom w:w="29" w:type="dxa"/>
              <w:right w:w="115" w:type="dxa"/>
            </w:tcMar>
          </w:tcPr>
          <w:p w:rsidR="000A57CA" w:rsidRDefault="0091236C" w:rsidP="00074BA0">
            <w:pPr>
              <w:pStyle w:val="PolicyHeaderFill"/>
            </w:pPr>
            <w:r>
              <w:t>CPL-</w:t>
            </w:r>
            <w:r w:rsidR="00EE0FBE">
              <w:t>16-</w:t>
            </w:r>
            <w:r w:rsidR="00E77547">
              <w:t>01</w:t>
            </w:r>
          </w:p>
        </w:tc>
        <w:tc>
          <w:tcPr>
            <w:tcW w:w="828" w:type="pct"/>
            <w:tcBorders>
              <w:top w:val="nil"/>
            </w:tcBorders>
            <w:shd w:val="clear" w:color="auto" w:fill="auto"/>
            <w:tcMar>
              <w:top w:w="29" w:type="dxa"/>
              <w:left w:w="115" w:type="dxa"/>
              <w:bottom w:w="29" w:type="dxa"/>
              <w:right w:w="115" w:type="dxa"/>
            </w:tcMar>
          </w:tcPr>
          <w:p w:rsidR="000A57CA" w:rsidRDefault="000A57CA" w:rsidP="002B50C6">
            <w:pPr>
              <w:pStyle w:val="PolicyHeaderLabel"/>
            </w:pPr>
            <w:r>
              <w:t>Effective Date</w:t>
            </w:r>
          </w:p>
        </w:tc>
        <w:tc>
          <w:tcPr>
            <w:tcW w:w="1010" w:type="pct"/>
            <w:tcBorders>
              <w:top w:val="nil"/>
            </w:tcBorders>
            <w:shd w:val="clear" w:color="auto" w:fill="auto"/>
            <w:tcMar>
              <w:top w:w="29" w:type="dxa"/>
              <w:left w:w="115" w:type="dxa"/>
              <w:bottom w:w="29" w:type="dxa"/>
              <w:right w:w="115" w:type="dxa"/>
            </w:tcMar>
          </w:tcPr>
          <w:p w:rsidR="000A57CA" w:rsidRDefault="0091236C" w:rsidP="000602A3">
            <w:pPr>
              <w:pStyle w:val="PolicyHeaderFill"/>
            </w:pPr>
            <w:r>
              <w:t>MM/DD/YYYY</w:t>
            </w:r>
          </w:p>
        </w:tc>
        <w:tc>
          <w:tcPr>
            <w:tcW w:w="422" w:type="pct"/>
            <w:tcBorders>
              <w:top w:val="nil"/>
            </w:tcBorders>
            <w:shd w:val="clear" w:color="auto" w:fill="auto"/>
            <w:tcMar>
              <w:top w:w="29" w:type="dxa"/>
              <w:left w:w="115" w:type="dxa"/>
              <w:bottom w:w="29" w:type="dxa"/>
              <w:right w:w="115" w:type="dxa"/>
            </w:tcMar>
          </w:tcPr>
          <w:p w:rsidR="000A57CA" w:rsidRDefault="000A57CA" w:rsidP="000602A3">
            <w:pPr>
              <w:pStyle w:val="PolicyHeaderLabel"/>
            </w:pPr>
            <w:r>
              <w:t>Email</w:t>
            </w:r>
          </w:p>
        </w:tc>
        <w:tc>
          <w:tcPr>
            <w:tcW w:w="1509" w:type="pct"/>
            <w:tcBorders>
              <w:top w:val="nil"/>
            </w:tcBorders>
            <w:shd w:val="clear" w:color="auto" w:fill="auto"/>
            <w:tcMar>
              <w:top w:w="29" w:type="dxa"/>
              <w:left w:w="115" w:type="dxa"/>
              <w:bottom w:w="29" w:type="dxa"/>
              <w:right w:w="115" w:type="dxa"/>
            </w:tcMar>
          </w:tcPr>
          <w:p w:rsidR="000A57CA" w:rsidRDefault="000A57CA" w:rsidP="001B6243">
            <w:pPr>
              <w:pStyle w:val="PolicyHeaderFill"/>
            </w:pPr>
            <w:r>
              <w:t>policy</w:t>
            </w:r>
            <w:r w:rsidRPr="00706542">
              <w:t>@</w:t>
            </w:r>
            <w:r w:rsidR="0091236C">
              <w:t>companyx</w:t>
            </w:r>
            <w:r w:rsidR="001B6243">
              <w:t>.com</w:t>
            </w:r>
          </w:p>
        </w:tc>
      </w:tr>
      <w:tr w:rsidR="005607EA" w:rsidTr="00CD0CEA">
        <w:tc>
          <w:tcPr>
            <w:tcW w:w="576" w:type="pct"/>
            <w:shd w:val="clear" w:color="auto" w:fill="auto"/>
            <w:tcMar>
              <w:top w:w="29" w:type="dxa"/>
              <w:left w:w="115" w:type="dxa"/>
              <w:bottom w:w="29" w:type="dxa"/>
              <w:right w:w="115" w:type="dxa"/>
            </w:tcMar>
          </w:tcPr>
          <w:p w:rsidR="005607EA" w:rsidRDefault="005607EA" w:rsidP="002B50C6">
            <w:pPr>
              <w:pStyle w:val="PolicyHeaderLabel"/>
            </w:pPr>
            <w:r>
              <w:t>Version</w:t>
            </w:r>
          </w:p>
        </w:tc>
        <w:tc>
          <w:tcPr>
            <w:tcW w:w="654" w:type="pct"/>
            <w:shd w:val="clear" w:color="auto" w:fill="auto"/>
            <w:tcMar>
              <w:top w:w="29" w:type="dxa"/>
              <w:left w:w="115" w:type="dxa"/>
              <w:bottom w:w="29" w:type="dxa"/>
              <w:right w:w="115" w:type="dxa"/>
            </w:tcMar>
          </w:tcPr>
          <w:p w:rsidR="005607EA" w:rsidRDefault="005607EA" w:rsidP="002B50C6">
            <w:pPr>
              <w:pStyle w:val="PolicyHeaderFill"/>
            </w:pPr>
            <w:r>
              <w:t>1.0</w:t>
            </w:r>
          </w:p>
        </w:tc>
        <w:tc>
          <w:tcPr>
            <w:tcW w:w="828" w:type="pct"/>
            <w:shd w:val="clear" w:color="auto" w:fill="auto"/>
            <w:tcMar>
              <w:top w:w="29" w:type="dxa"/>
              <w:left w:w="115" w:type="dxa"/>
              <w:bottom w:w="29" w:type="dxa"/>
              <w:right w:w="115" w:type="dxa"/>
            </w:tcMar>
          </w:tcPr>
          <w:p w:rsidR="005607EA" w:rsidRDefault="005607EA" w:rsidP="002B50C6">
            <w:pPr>
              <w:pStyle w:val="PolicyHeaderLabel"/>
            </w:pPr>
            <w:r>
              <w:t xml:space="preserve">Contact </w:t>
            </w:r>
          </w:p>
        </w:tc>
        <w:tc>
          <w:tcPr>
            <w:tcW w:w="1010" w:type="pct"/>
            <w:shd w:val="clear" w:color="auto" w:fill="auto"/>
            <w:tcMar>
              <w:top w:w="29" w:type="dxa"/>
              <w:left w:w="115" w:type="dxa"/>
              <w:bottom w:w="29" w:type="dxa"/>
              <w:right w:w="115" w:type="dxa"/>
            </w:tcMar>
          </w:tcPr>
          <w:p w:rsidR="005607EA" w:rsidRDefault="005607EA" w:rsidP="00944C37">
            <w:pPr>
              <w:pStyle w:val="PolicyHeaderFill"/>
            </w:pPr>
            <w:r>
              <w:t>Policy Author</w:t>
            </w:r>
          </w:p>
        </w:tc>
        <w:tc>
          <w:tcPr>
            <w:tcW w:w="422" w:type="pct"/>
            <w:shd w:val="clear" w:color="auto" w:fill="auto"/>
            <w:tcMar>
              <w:top w:w="29" w:type="dxa"/>
              <w:left w:w="115" w:type="dxa"/>
              <w:bottom w:w="29" w:type="dxa"/>
              <w:right w:w="115" w:type="dxa"/>
            </w:tcMar>
          </w:tcPr>
          <w:p w:rsidR="005607EA" w:rsidRDefault="005607EA" w:rsidP="00944C37">
            <w:pPr>
              <w:pStyle w:val="PolicyHeaderLabel"/>
            </w:pPr>
            <w:r>
              <w:t>Phone</w:t>
            </w:r>
          </w:p>
        </w:tc>
        <w:tc>
          <w:tcPr>
            <w:tcW w:w="1509" w:type="pct"/>
            <w:shd w:val="clear" w:color="auto" w:fill="auto"/>
            <w:tcMar>
              <w:top w:w="29" w:type="dxa"/>
              <w:left w:w="115" w:type="dxa"/>
              <w:bottom w:w="29" w:type="dxa"/>
              <w:right w:w="115" w:type="dxa"/>
            </w:tcMar>
          </w:tcPr>
          <w:p w:rsidR="005607EA" w:rsidRDefault="005607EA" w:rsidP="00944C37">
            <w:pPr>
              <w:pStyle w:val="PolicyHeaderFill"/>
            </w:pPr>
            <w:r>
              <w:t>888-641-0500</w:t>
            </w:r>
          </w:p>
        </w:tc>
      </w:tr>
    </w:tbl>
    <w:p w:rsidR="00CD0CEA" w:rsidRDefault="00CD0CEA" w:rsidP="00345C8D">
      <w:pPr>
        <w:pStyle w:val="PolicySubheader"/>
        <w:spacing w:before="120"/>
      </w:pPr>
      <w:bookmarkStart w:id="0" w:name="_Toc242654773"/>
    </w:p>
    <w:p w:rsidR="00230EB2" w:rsidRDefault="005B23C5" w:rsidP="00345C8D">
      <w:pPr>
        <w:pStyle w:val="PolicySubheader"/>
        <w:spacing w:before="120"/>
        <w:rPr>
          <w:noProof/>
        </w:rPr>
      </w:pPr>
      <w:bookmarkStart w:id="1" w:name="_GoBack"/>
      <w:bookmarkEnd w:id="1"/>
      <w:r w:rsidRPr="0029313E">
        <w:t>Table of Contents</w:t>
      </w:r>
      <w:bookmarkEnd w:id="0"/>
      <w:r w:rsidR="00E067CE">
        <w:fldChar w:fldCharType="begin"/>
      </w:r>
      <w:r w:rsidR="0085160B">
        <w:instrText xml:space="preserve"> TOC \o "1-3" \h \z \u </w:instrText>
      </w:r>
      <w:r w:rsidR="00E067CE">
        <w:fldChar w:fldCharType="separate"/>
      </w:r>
    </w:p>
    <w:p w:rsidR="00230EB2" w:rsidRPr="00AF600B" w:rsidRDefault="00661D0E">
      <w:pPr>
        <w:pStyle w:val="TOC1"/>
        <w:tabs>
          <w:tab w:val="right" w:leader="dot" w:pos="9350"/>
        </w:tabs>
        <w:rPr>
          <w:rFonts w:ascii="Calibri" w:hAnsi="Calibri"/>
          <w:noProof/>
          <w:szCs w:val="22"/>
        </w:rPr>
      </w:pPr>
      <w:hyperlink w:anchor="_Toc393402992" w:history="1">
        <w:r w:rsidR="00230EB2" w:rsidRPr="008D5840">
          <w:rPr>
            <w:rStyle w:val="Hyperlink"/>
            <w:bCs/>
            <w:noProof/>
          </w:rPr>
          <w:t>Purpose</w:t>
        </w:r>
        <w:r w:rsidR="00230EB2">
          <w:rPr>
            <w:noProof/>
            <w:webHidden/>
          </w:rPr>
          <w:tab/>
        </w:r>
        <w:r w:rsidR="00E067CE">
          <w:rPr>
            <w:noProof/>
            <w:webHidden/>
          </w:rPr>
          <w:fldChar w:fldCharType="begin"/>
        </w:r>
        <w:r w:rsidR="00230EB2">
          <w:rPr>
            <w:noProof/>
            <w:webHidden/>
          </w:rPr>
          <w:instrText xml:space="preserve"> PAGEREF _Toc393402992 \h </w:instrText>
        </w:r>
        <w:r w:rsidR="00E067CE">
          <w:rPr>
            <w:noProof/>
            <w:webHidden/>
          </w:rPr>
        </w:r>
        <w:r w:rsidR="00E067CE">
          <w:rPr>
            <w:noProof/>
            <w:webHidden/>
          </w:rPr>
          <w:fldChar w:fldCharType="separate"/>
        </w:r>
        <w:r w:rsidR="00230EB2">
          <w:rPr>
            <w:noProof/>
            <w:webHidden/>
          </w:rPr>
          <w:t>1</w:t>
        </w:r>
        <w:r w:rsidR="00E067CE">
          <w:rPr>
            <w:noProof/>
            <w:webHidden/>
          </w:rPr>
          <w:fldChar w:fldCharType="end"/>
        </w:r>
      </w:hyperlink>
    </w:p>
    <w:p w:rsidR="00230EB2" w:rsidRPr="00AF600B" w:rsidRDefault="00661D0E">
      <w:pPr>
        <w:pStyle w:val="TOC1"/>
        <w:tabs>
          <w:tab w:val="right" w:leader="dot" w:pos="9350"/>
        </w:tabs>
        <w:rPr>
          <w:rFonts w:ascii="Calibri" w:hAnsi="Calibri"/>
          <w:noProof/>
          <w:szCs w:val="22"/>
        </w:rPr>
      </w:pPr>
      <w:hyperlink w:anchor="_Toc393402993" w:history="1">
        <w:r w:rsidR="00230EB2" w:rsidRPr="008D5840">
          <w:rPr>
            <w:rStyle w:val="Hyperlink"/>
            <w:bCs/>
            <w:noProof/>
          </w:rPr>
          <w:t>Scope</w:t>
        </w:r>
        <w:r w:rsidR="00230EB2">
          <w:rPr>
            <w:noProof/>
            <w:webHidden/>
          </w:rPr>
          <w:tab/>
        </w:r>
        <w:r w:rsidR="00E067CE">
          <w:rPr>
            <w:noProof/>
            <w:webHidden/>
          </w:rPr>
          <w:fldChar w:fldCharType="begin"/>
        </w:r>
        <w:r w:rsidR="00230EB2">
          <w:rPr>
            <w:noProof/>
            <w:webHidden/>
          </w:rPr>
          <w:instrText xml:space="preserve"> PAGEREF _Toc393402993 \h </w:instrText>
        </w:r>
        <w:r w:rsidR="00E067CE">
          <w:rPr>
            <w:noProof/>
            <w:webHidden/>
          </w:rPr>
        </w:r>
        <w:r w:rsidR="00E067CE">
          <w:rPr>
            <w:noProof/>
            <w:webHidden/>
          </w:rPr>
          <w:fldChar w:fldCharType="separate"/>
        </w:r>
        <w:r w:rsidR="00230EB2">
          <w:rPr>
            <w:noProof/>
            <w:webHidden/>
          </w:rPr>
          <w:t>1</w:t>
        </w:r>
        <w:r w:rsidR="00E067CE">
          <w:rPr>
            <w:noProof/>
            <w:webHidden/>
          </w:rPr>
          <w:fldChar w:fldCharType="end"/>
        </w:r>
      </w:hyperlink>
    </w:p>
    <w:p w:rsidR="00230EB2" w:rsidRPr="00AF600B" w:rsidRDefault="00661D0E">
      <w:pPr>
        <w:pStyle w:val="TOC1"/>
        <w:tabs>
          <w:tab w:val="right" w:leader="dot" w:pos="9350"/>
        </w:tabs>
        <w:rPr>
          <w:rFonts w:ascii="Calibri" w:hAnsi="Calibri"/>
          <w:noProof/>
          <w:szCs w:val="22"/>
        </w:rPr>
      </w:pPr>
      <w:hyperlink w:anchor="_Toc393402994" w:history="1">
        <w:r w:rsidR="00230EB2" w:rsidRPr="008D5840">
          <w:rPr>
            <w:rStyle w:val="Hyperlink"/>
            <w:bCs/>
            <w:noProof/>
          </w:rPr>
          <w:t>Policy</w:t>
        </w:r>
        <w:r w:rsidR="00230EB2">
          <w:rPr>
            <w:noProof/>
            <w:webHidden/>
          </w:rPr>
          <w:tab/>
        </w:r>
        <w:r w:rsidR="00E067CE">
          <w:rPr>
            <w:noProof/>
            <w:webHidden/>
          </w:rPr>
          <w:fldChar w:fldCharType="begin"/>
        </w:r>
        <w:r w:rsidR="00230EB2">
          <w:rPr>
            <w:noProof/>
            <w:webHidden/>
          </w:rPr>
          <w:instrText xml:space="preserve"> PAGEREF _Toc393402994 \h </w:instrText>
        </w:r>
        <w:r w:rsidR="00E067CE">
          <w:rPr>
            <w:noProof/>
            <w:webHidden/>
          </w:rPr>
        </w:r>
        <w:r w:rsidR="00E067CE">
          <w:rPr>
            <w:noProof/>
            <w:webHidden/>
          </w:rPr>
          <w:fldChar w:fldCharType="separate"/>
        </w:r>
        <w:r w:rsidR="00230EB2">
          <w:rPr>
            <w:noProof/>
            <w:webHidden/>
          </w:rPr>
          <w:t>2</w:t>
        </w:r>
        <w:r w:rsidR="00E067CE">
          <w:rPr>
            <w:noProof/>
            <w:webHidden/>
          </w:rPr>
          <w:fldChar w:fldCharType="end"/>
        </w:r>
      </w:hyperlink>
    </w:p>
    <w:p w:rsidR="00230EB2" w:rsidRPr="00AF600B" w:rsidRDefault="00661D0E">
      <w:pPr>
        <w:pStyle w:val="TOC3"/>
        <w:tabs>
          <w:tab w:val="right" w:leader="dot" w:pos="9350"/>
        </w:tabs>
        <w:rPr>
          <w:rFonts w:ascii="Calibri" w:hAnsi="Calibri"/>
          <w:noProof/>
          <w:szCs w:val="22"/>
        </w:rPr>
      </w:pPr>
      <w:hyperlink w:anchor="_Toc393402995" w:history="1">
        <w:r w:rsidR="00230EB2" w:rsidRPr="008D5840">
          <w:rPr>
            <w:rStyle w:val="Hyperlink"/>
            <w:noProof/>
          </w:rPr>
          <w:t>Management Responsibilities</w:t>
        </w:r>
        <w:r w:rsidR="00230EB2">
          <w:rPr>
            <w:noProof/>
            <w:webHidden/>
          </w:rPr>
          <w:tab/>
        </w:r>
        <w:r w:rsidR="00E067CE">
          <w:rPr>
            <w:noProof/>
            <w:webHidden/>
          </w:rPr>
          <w:fldChar w:fldCharType="begin"/>
        </w:r>
        <w:r w:rsidR="00230EB2">
          <w:rPr>
            <w:noProof/>
            <w:webHidden/>
          </w:rPr>
          <w:instrText xml:space="preserve"> PAGEREF _Toc393402995 \h </w:instrText>
        </w:r>
        <w:r w:rsidR="00E067CE">
          <w:rPr>
            <w:noProof/>
            <w:webHidden/>
          </w:rPr>
        </w:r>
        <w:r w:rsidR="00E067CE">
          <w:rPr>
            <w:noProof/>
            <w:webHidden/>
          </w:rPr>
          <w:fldChar w:fldCharType="separate"/>
        </w:r>
        <w:r w:rsidR="00230EB2">
          <w:rPr>
            <w:noProof/>
            <w:webHidden/>
          </w:rPr>
          <w:t>2</w:t>
        </w:r>
        <w:r w:rsidR="00E067CE">
          <w:rPr>
            <w:noProof/>
            <w:webHidden/>
          </w:rPr>
          <w:fldChar w:fldCharType="end"/>
        </w:r>
      </w:hyperlink>
    </w:p>
    <w:p w:rsidR="00230EB2" w:rsidRPr="00AF600B" w:rsidRDefault="00661D0E">
      <w:pPr>
        <w:pStyle w:val="TOC3"/>
        <w:tabs>
          <w:tab w:val="right" w:leader="dot" w:pos="9350"/>
        </w:tabs>
        <w:rPr>
          <w:rFonts w:ascii="Calibri" w:hAnsi="Calibri"/>
          <w:noProof/>
          <w:szCs w:val="22"/>
        </w:rPr>
      </w:pPr>
      <w:hyperlink w:anchor="_Toc393402996" w:history="1">
        <w:r w:rsidR="00230EB2" w:rsidRPr="008D5840">
          <w:rPr>
            <w:rStyle w:val="Hyperlink"/>
            <w:noProof/>
          </w:rPr>
          <w:t>Prior to Employment</w:t>
        </w:r>
        <w:r w:rsidR="00230EB2">
          <w:rPr>
            <w:noProof/>
            <w:webHidden/>
          </w:rPr>
          <w:tab/>
        </w:r>
        <w:r w:rsidR="00E067CE">
          <w:rPr>
            <w:noProof/>
            <w:webHidden/>
          </w:rPr>
          <w:fldChar w:fldCharType="begin"/>
        </w:r>
        <w:r w:rsidR="00230EB2">
          <w:rPr>
            <w:noProof/>
            <w:webHidden/>
          </w:rPr>
          <w:instrText xml:space="preserve"> PAGEREF _Toc393402996 \h </w:instrText>
        </w:r>
        <w:r w:rsidR="00E067CE">
          <w:rPr>
            <w:noProof/>
            <w:webHidden/>
          </w:rPr>
        </w:r>
        <w:r w:rsidR="00E067CE">
          <w:rPr>
            <w:noProof/>
            <w:webHidden/>
          </w:rPr>
          <w:fldChar w:fldCharType="separate"/>
        </w:r>
        <w:r w:rsidR="00230EB2">
          <w:rPr>
            <w:noProof/>
            <w:webHidden/>
          </w:rPr>
          <w:t>2</w:t>
        </w:r>
        <w:r w:rsidR="00E067CE">
          <w:rPr>
            <w:noProof/>
            <w:webHidden/>
          </w:rPr>
          <w:fldChar w:fldCharType="end"/>
        </w:r>
      </w:hyperlink>
    </w:p>
    <w:p w:rsidR="00230EB2" w:rsidRPr="00AF600B" w:rsidRDefault="00661D0E">
      <w:pPr>
        <w:pStyle w:val="TOC3"/>
        <w:tabs>
          <w:tab w:val="right" w:leader="dot" w:pos="9350"/>
        </w:tabs>
        <w:rPr>
          <w:rFonts w:ascii="Calibri" w:hAnsi="Calibri"/>
          <w:noProof/>
          <w:szCs w:val="22"/>
        </w:rPr>
      </w:pPr>
      <w:hyperlink w:anchor="_Toc393402997" w:history="1">
        <w:r w:rsidR="00230EB2" w:rsidRPr="008D5840">
          <w:rPr>
            <w:rStyle w:val="Hyperlink"/>
            <w:noProof/>
          </w:rPr>
          <w:t>During Employment – Protection of PII</w:t>
        </w:r>
        <w:r w:rsidR="00230EB2">
          <w:rPr>
            <w:noProof/>
            <w:webHidden/>
          </w:rPr>
          <w:tab/>
        </w:r>
        <w:r w:rsidR="00E067CE">
          <w:rPr>
            <w:noProof/>
            <w:webHidden/>
          </w:rPr>
          <w:fldChar w:fldCharType="begin"/>
        </w:r>
        <w:r w:rsidR="00230EB2">
          <w:rPr>
            <w:noProof/>
            <w:webHidden/>
          </w:rPr>
          <w:instrText xml:space="preserve"> PAGEREF _Toc393402997 \h </w:instrText>
        </w:r>
        <w:r w:rsidR="00E067CE">
          <w:rPr>
            <w:noProof/>
            <w:webHidden/>
          </w:rPr>
        </w:r>
        <w:r w:rsidR="00E067CE">
          <w:rPr>
            <w:noProof/>
            <w:webHidden/>
          </w:rPr>
          <w:fldChar w:fldCharType="separate"/>
        </w:r>
        <w:r w:rsidR="00230EB2">
          <w:rPr>
            <w:noProof/>
            <w:webHidden/>
          </w:rPr>
          <w:t>2</w:t>
        </w:r>
        <w:r w:rsidR="00E067CE">
          <w:rPr>
            <w:noProof/>
            <w:webHidden/>
          </w:rPr>
          <w:fldChar w:fldCharType="end"/>
        </w:r>
      </w:hyperlink>
    </w:p>
    <w:p w:rsidR="00230EB2" w:rsidRPr="00AF600B" w:rsidRDefault="00661D0E">
      <w:pPr>
        <w:pStyle w:val="TOC3"/>
        <w:tabs>
          <w:tab w:val="right" w:leader="dot" w:pos="9350"/>
        </w:tabs>
        <w:rPr>
          <w:rFonts w:ascii="Calibri" w:hAnsi="Calibri"/>
          <w:noProof/>
          <w:szCs w:val="22"/>
        </w:rPr>
      </w:pPr>
      <w:hyperlink w:anchor="_Toc393402998" w:history="1">
        <w:r w:rsidR="00230EB2" w:rsidRPr="008D5840">
          <w:rPr>
            <w:rStyle w:val="Hyperlink"/>
            <w:noProof/>
          </w:rPr>
          <w:t>After Employment</w:t>
        </w:r>
        <w:r w:rsidR="00230EB2">
          <w:rPr>
            <w:noProof/>
            <w:webHidden/>
          </w:rPr>
          <w:tab/>
        </w:r>
        <w:r w:rsidR="00E067CE">
          <w:rPr>
            <w:noProof/>
            <w:webHidden/>
          </w:rPr>
          <w:fldChar w:fldCharType="begin"/>
        </w:r>
        <w:r w:rsidR="00230EB2">
          <w:rPr>
            <w:noProof/>
            <w:webHidden/>
          </w:rPr>
          <w:instrText xml:space="preserve"> PAGEREF _Toc393402998 \h </w:instrText>
        </w:r>
        <w:r w:rsidR="00E067CE">
          <w:rPr>
            <w:noProof/>
            <w:webHidden/>
          </w:rPr>
        </w:r>
        <w:r w:rsidR="00E067CE">
          <w:rPr>
            <w:noProof/>
            <w:webHidden/>
          </w:rPr>
          <w:fldChar w:fldCharType="separate"/>
        </w:r>
        <w:r w:rsidR="00230EB2">
          <w:rPr>
            <w:noProof/>
            <w:webHidden/>
          </w:rPr>
          <w:t>3</w:t>
        </w:r>
        <w:r w:rsidR="00E067CE">
          <w:rPr>
            <w:noProof/>
            <w:webHidden/>
          </w:rPr>
          <w:fldChar w:fldCharType="end"/>
        </w:r>
      </w:hyperlink>
    </w:p>
    <w:p w:rsidR="00230EB2" w:rsidRPr="00AF600B" w:rsidRDefault="00661D0E">
      <w:pPr>
        <w:pStyle w:val="TOC1"/>
        <w:tabs>
          <w:tab w:val="right" w:leader="dot" w:pos="9350"/>
        </w:tabs>
        <w:rPr>
          <w:rFonts w:ascii="Calibri" w:hAnsi="Calibri"/>
          <w:noProof/>
          <w:szCs w:val="22"/>
        </w:rPr>
      </w:pPr>
      <w:hyperlink w:anchor="_Toc393402999" w:history="1">
        <w:r w:rsidR="00230EB2" w:rsidRPr="008D5840">
          <w:rPr>
            <w:rStyle w:val="Hyperlink"/>
            <w:bCs/>
            <w:noProof/>
          </w:rPr>
          <w:t>Violations</w:t>
        </w:r>
        <w:r w:rsidR="00230EB2">
          <w:rPr>
            <w:noProof/>
            <w:webHidden/>
          </w:rPr>
          <w:tab/>
        </w:r>
        <w:r w:rsidR="00E067CE">
          <w:rPr>
            <w:noProof/>
            <w:webHidden/>
          </w:rPr>
          <w:fldChar w:fldCharType="begin"/>
        </w:r>
        <w:r w:rsidR="00230EB2">
          <w:rPr>
            <w:noProof/>
            <w:webHidden/>
          </w:rPr>
          <w:instrText xml:space="preserve"> PAGEREF _Toc393402999 \h </w:instrText>
        </w:r>
        <w:r w:rsidR="00E067CE">
          <w:rPr>
            <w:noProof/>
            <w:webHidden/>
          </w:rPr>
        </w:r>
        <w:r w:rsidR="00E067CE">
          <w:rPr>
            <w:noProof/>
            <w:webHidden/>
          </w:rPr>
          <w:fldChar w:fldCharType="separate"/>
        </w:r>
        <w:r w:rsidR="00230EB2">
          <w:rPr>
            <w:noProof/>
            <w:webHidden/>
          </w:rPr>
          <w:t>4</w:t>
        </w:r>
        <w:r w:rsidR="00E067CE">
          <w:rPr>
            <w:noProof/>
            <w:webHidden/>
          </w:rPr>
          <w:fldChar w:fldCharType="end"/>
        </w:r>
      </w:hyperlink>
    </w:p>
    <w:p w:rsidR="00230EB2" w:rsidRPr="00AF600B" w:rsidRDefault="00661D0E">
      <w:pPr>
        <w:pStyle w:val="TOC1"/>
        <w:tabs>
          <w:tab w:val="right" w:leader="dot" w:pos="9350"/>
        </w:tabs>
        <w:rPr>
          <w:rFonts w:ascii="Calibri" w:hAnsi="Calibri"/>
          <w:noProof/>
          <w:szCs w:val="22"/>
        </w:rPr>
      </w:pPr>
      <w:hyperlink w:anchor="_Toc393403000" w:history="1">
        <w:r w:rsidR="00230EB2" w:rsidRPr="008D5840">
          <w:rPr>
            <w:rStyle w:val="Hyperlink"/>
            <w:bCs/>
            <w:noProof/>
          </w:rPr>
          <w:t>Definitions</w:t>
        </w:r>
        <w:r w:rsidR="00230EB2">
          <w:rPr>
            <w:noProof/>
            <w:webHidden/>
          </w:rPr>
          <w:tab/>
        </w:r>
        <w:r w:rsidR="00E067CE">
          <w:rPr>
            <w:noProof/>
            <w:webHidden/>
          </w:rPr>
          <w:fldChar w:fldCharType="begin"/>
        </w:r>
        <w:r w:rsidR="00230EB2">
          <w:rPr>
            <w:noProof/>
            <w:webHidden/>
          </w:rPr>
          <w:instrText xml:space="preserve"> PAGEREF _Toc393403000 \h </w:instrText>
        </w:r>
        <w:r w:rsidR="00E067CE">
          <w:rPr>
            <w:noProof/>
            <w:webHidden/>
          </w:rPr>
        </w:r>
        <w:r w:rsidR="00E067CE">
          <w:rPr>
            <w:noProof/>
            <w:webHidden/>
          </w:rPr>
          <w:fldChar w:fldCharType="separate"/>
        </w:r>
        <w:r w:rsidR="00230EB2">
          <w:rPr>
            <w:noProof/>
            <w:webHidden/>
          </w:rPr>
          <w:t>4</w:t>
        </w:r>
        <w:r w:rsidR="00E067CE">
          <w:rPr>
            <w:noProof/>
            <w:webHidden/>
          </w:rPr>
          <w:fldChar w:fldCharType="end"/>
        </w:r>
      </w:hyperlink>
    </w:p>
    <w:p w:rsidR="00230EB2" w:rsidRPr="00AF600B" w:rsidRDefault="00661D0E">
      <w:pPr>
        <w:pStyle w:val="TOC1"/>
        <w:tabs>
          <w:tab w:val="right" w:leader="dot" w:pos="9350"/>
        </w:tabs>
        <w:rPr>
          <w:rFonts w:ascii="Calibri" w:hAnsi="Calibri"/>
          <w:noProof/>
          <w:szCs w:val="22"/>
        </w:rPr>
      </w:pPr>
      <w:hyperlink w:anchor="_Toc393403001" w:history="1">
        <w:r w:rsidR="00230EB2" w:rsidRPr="008D5840">
          <w:rPr>
            <w:rStyle w:val="Hyperlink"/>
            <w:noProof/>
          </w:rPr>
          <w:t>References</w:t>
        </w:r>
        <w:r w:rsidR="00230EB2">
          <w:rPr>
            <w:noProof/>
            <w:webHidden/>
          </w:rPr>
          <w:tab/>
        </w:r>
        <w:r w:rsidR="00E067CE">
          <w:rPr>
            <w:noProof/>
            <w:webHidden/>
          </w:rPr>
          <w:fldChar w:fldCharType="begin"/>
        </w:r>
        <w:r w:rsidR="00230EB2">
          <w:rPr>
            <w:noProof/>
            <w:webHidden/>
          </w:rPr>
          <w:instrText xml:space="preserve"> PAGEREF _Toc393403001 \h </w:instrText>
        </w:r>
        <w:r w:rsidR="00E067CE">
          <w:rPr>
            <w:noProof/>
            <w:webHidden/>
          </w:rPr>
        </w:r>
        <w:r w:rsidR="00E067CE">
          <w:rPr>
            <w:noProof/>
            <w:webHidden/>
          </w:rPr>
          <w:fldChar w:fldCharType="separate"/>
        </w:r>
        <w:r w:rsidR="00230EB2">
          <w:rPr>
            <w:noProof/>
            <w:webHidden/>
          </w:rPr>
          <w:t>4</w:t>
        </w:r>
        <w:r w:rsidR="00E067CE">
          <w:rPr>
            <w:noProof/>
            <w:webHidden/>
          </w:rPr>
          <w:fldChar w:fldCharType="end"/>
        </w:r>
      </w:hyperlink>
    </w:p>
    <w:p w:rsidR="00230EB2" w:rsidRPr="00AF600B" w:rsidRDefault="00661D0E">
      <w:pPr>
        <w:pStyle w:val="TOC1"/>
        <w:tabs>
          <w:tab w:val="right" w:leader="dot" w:pos="9350"/>
        </w:tabs>
        <w:rPr>
          <w:rFonts w:ascii="Calibri" w:hAnsi="Calibri"/>
          <w:noProof/>
          <w:szCs w:val="22"/>
        </w:rPr>
      </w:pPr>
      <w:hyperlink w:anchor="_Toc393403002" w:history="1">
        <w:r w:rsidR="00230EB2" w:rsidRPr="008D5840">
          <w:rPr>
            <w:rStyle w:val="Hyperlink"/>
            <w:noProof/>
          </w:rPr>
          <w:t>Related Documents</w:t>
        </w:r>
        <w:r w:rsidR="00230EB2">
          <w:rPr>
            <w:noProof/>
            <w:webHidden/>
          </w:rPr>
          <w:tab/>
        </w:r>
        <w:r w:rsidR="00E067CE">
          <w:rPr>
            <w:noProof/>
            <w:webHidden/>
          </w:rPr>
          <w:fldChar w:fldCharType="begin"/>
        </w:r>
        <w:r w:rsidR="00230EB2">
          <w:rPr>
            <w:noProof/>
            <w:webHidden/>
          </w:rPr>
          <w:instrText xml:space="preserve"> PAGEREF _Toc393403002 \h </w:instrText>
        </w:r>
        <w:r w:rsidR="00E067CE">
          <w:rPr>
            <w:noProof/>
            <w:webHidden/>
          </w:rPr>
        </w:r>
        <w:r w:rsidR="00E067CE">
          <w:rPr>
            <w:noProof/>
            <w:webHidden/>
          </w:rPr>
          <w:fldChar w:fldCharType="separate"/>
        </w:r>
        <w:r w:rsidR="00230EB2">
          <w:rPr>
            <w:noProof/>
            <w:webHidden/>
          </w:rPr>
          <w:t>5</w:t>
        </w:r>
        <w:r w:rsidR="00E067CE">
          <w:rPr>
            <w:noProof/>
            <w:webHidden/>
          </w:rPr>
          <w:fldChar w:fldCharType="end"/>
        </w:r>
      </w:hyperlink>
    </w:p>
    <w:p w:rsidR="00230EB2" w:rsidRPr="00AF600B" w:rsidRDefault="00661D0E">
      <w:pPr>
        <w:pStyle w:val="TOC1"/>
        <w:tabs>
          <w:tab w:val="right" w:leader="dot" w:pos="9350"/>
        </w:tabs>
        <w:rPr>
          <w:rFonts w:ascii="Calibri" w:hAnsi="Calibri"/>
          <w:noProof/>
          <w:szCs w:val="22"/>
        </w:rPr>
      </w:pPr>
      <w:hyperlink w:anchor="_Toc393403003" w:history="1">
        <w:r w:rsidR="00230EB2" w:rsidRPr="008D5840">
          <w:rPr>
            <w:rStyle w:val="Hyperlink"/>
            <w:bCs/>
            <w:noProof/>
          </w:rPr>
          <w:t>Approval and Ownership</w:t>
        </w:r>
        <w:r w:rsidR="00230EB2">
          <w:rPr>
            <w:noProof/>
            <w:webHidden/>
          </w:rPr>
          <w:tab/>
        </w:r>
        <w:r w:rsidR="00E067CE">
          <w:rPr>
            <w:noProof/>
            <w:webHidden/>
          </w:rPr>
          <w:fldChar w:fldCharType="begin"/>
        </w:r>
        <w:r w:rsidR="00230EB2">
          <w:rPr>
            <w:noProof/>
            <w:webHidden/>
          </w:rPr>
          <w:instrText xml:space="preserve"> PAGEREF _Toc393403003 \h </w:instrText>
        </w:r>
        <w:r w:rsidR="00E067CE">
          <w:rPr>
            <w:noProof/>
            <w:webHidden/>
          </w:rPr>
        </w:r>
        <w:r w:rsidR="00E067CE">
          <w:rPr>
            <w:noProof/>
            <w:webHidden/>
          </w:rPr>
          <w:fldChar w:fldCharType="separate"/>
        </w:r>
        <w:r w:rsidR="00230EB2">
          <w:rPr>
            <w:noProof/>
            <w:webHidden/>
          </w:rPr>
          <w:t>5</w:t>
        </w:r>
        <w:r w:rsidR="00E067CE">
          <w:rPr>
            <w:noProof/>
            <w:webHidden/>
          </w:rPr>
          <w:fldChar w:fldCharType="end"/>
        </w:r>
      </w:hyperlink>
    </w:p>
    <w:p w:rsidR="00230EB2" w:rsidRPr="00AF600B" w:rsidRDefault="00661D0E">
      <w:pPr>
        <w:pStyle w:val="TOC1"/>
        <w:tabs>
          <w:tab w:val="right" w:leader="dot" w:pos="9350"/>
        </w:tabs>
        <w:rPr>
          <w:rFonts w:ascii="Calibri" w:hAnsi="Calibri"/>
          <w:noProof/>
          <w:szCs w:val="22"/>
        </w:rPr>
      </w:pPr>
      <w:hyperlink w:anchor="_Toc393403004" w:history="1">
        <w:r w:rsidR="00230EB2" w:rsidRPr="008D5840">
          <w:rPr>
            <w:rStyle w:val="Hyperlink"/>
            <w:bCs/>
            <w:noProof/>
          </w:rPr>
          <w:t>Revision History</w:t>
        </w:r>
        <w:r w:rsidR="00230EB2">
          <w:rPr>
            <w:noProof/>
            <w:webHidden/>
          </w:rPr>
          <w:tab/>
        </w:r>
        <w:r w:rsidR="00E067CE">
          <w:rPr>
            <w:noProof/>
            <w:webHidden/>
          </w:rPr>
          <w:fldChar w:fldCharType="begin"/>
        </w:r>
        <w:r w:rsidR="00230EB2">
          <w:rPr>
            <w:noProof/>
            <w:webHidden/>
          </w:rPr>
          <w:instrText xml:space="preserve"> PAGEREF _Toc393403004 \h </w:instrText>
        </w:r>
        <w:r w:rsidR="00E067CE">
          <w:rPr>
            <w:noProof/>
            <w:webHidden/>
          </w:rPr>
        </w:r>
        <w:r w:rsidR="00E067CE">
          <w:rPr>
            <w:noProof/>
            <w:webHidden/>
          </w:rPr>
          <w:fldChar w:fldCharType="separate"/>
        </w:r>
        <w:r w:rsidR="00230EB2">
          <w:rPr>
            <w:noProof/>
            <w:webHidden/>
          </w:rPr>
          <w:t>5</w:t>
        </w:r>
        <w:r w:rsidR="00E067CE">
          <w:rPr>
            <w:noProof/>
            <w:webHidden/>
          </w:rPr>
          <w:fldChar w:fldCharType="end"/>
        </w:r>
      </w:hyperlink>
    </w:p>
    <w:p w:rsidR="0085160B" w:rsidRDefault="00E067CE" w:rsidP="008E325A">
      <w:pPr>
        <w:pStyle w:val="TOC1"/>
        <w:tabs>
          <w:tab w:val="right" w:leader="dot" w:pos="9350"/>
        </w:tabs>
      </w:pPr>
      <w:r>
        <w:fldChar w:fldCharType="end"/>
      </w:r>
    </w:p>
    <w:p w:rsidR="00230EB2" w:rsidRPr="003F09FA" w:rsidRDefault="00230EB2" w:rsidP="00230EB2">
      <w:pPr>
        <w:pStyle w:val="PolicyElementHeader"/>
        <w:rPr>
          <w:bCs/>
          <w:color w:val="00527A"/>
        </w:rPr>
      </w:pPr>
      <w:bookmarkStart w:id="2" w:name="_Toc385500510"/>
      <w:bookmarkStart w:id="3" w:name="_Toc393402992"/>
      <w:bookmarkStart w:id="4" w:name="_Toc242090153"/>
      <w:bookmarkStart w:id="5" w:name="_Toc241985854"/>
      <w:r w:rsidRPr="003F09FA">
        <w:rPr>
          <w:bCs/>
          <w:color w:val="00527A"/>
        </w:rPr>
        <w:t>Purpose</w:t>
      </w:r>
      <w:bookmarkEnd w:id="2"/>
      <w:bookmarkEnd w:id="3"/>
    </w:p>
    <w:p w:rsidR="00230EB2" w:rsidRDefault="00230EB2" w:rsidP="00230EB2">
      <w:pPr>
        <w:pStyle w:val="AuthorComment"/>
      </w:pPr>
      <w:r>
        <w:t xml:space="preserve">A wide variety of state-level data protection laws require the protection of sensitive personal information of employees via written policies and procedures.  While most of the laws specifically address Social Security Numbers, many of the newer laws (such as those of </w:t>
      </w:r>
      <w:smartTag w:uri="urn:schemas-microsoft-com:office:smarttags" w:element="State">
        <w:r>
          <w:t>New York</w:t>
        </w:r>
      </w:smartTag>
      <w:r>
        <w:t xml:space="preserve"> and </w:t>
      </w:r>
      <w:smartTag w:uri="urn:schemas-microsoft-com:office:smarttags" w:element="place">
        <w:smartTag w:uri="urn:schemas-microsoft-com:office:smarttags" w:element="State">
          <w:r>
            <w:t>Texas</w:t>
          </w:r>
        </w:smartTag>
      </w:smartTag>
      <w:r>
        <w:t xml:space="preserve">) are taking a broader definition of sensitive employee data.  Thus, this sample policy is written to refer to a generic class of sensitive personal identifying information which can be refined within the definitions section based on the specific organizational requirements.  This sample policy addresses some of the high-level requirements of these data protection laws and can be used as a framework for a more comprehensive policy document.  This document is based on the general employee protection requirements of The </w:t>
      </w:r>
      <w:smartTag w:uri="urn:schemas-microsoft-com:office:smarttags" w:element="State">
        <w:r>
          <w:t>New York</w:t>
        </w:r>
      </w:smartTag>
      <w:r>
        <w:t xml:space="preserve"> Social Security Number Protection Law and The </w:t>
      </w:r>
      <w:smartTag w:uri="urn:schemas-microsoft-com:office:smarttags" w:element="State">
        <w:smartTag w:uri="urn:schemas-microsoft-com:office:smarttags" w:element="place">
          <w:r>
            <w:t>New York</w:t>
          </w:r>
        </w:smartTag>
      </w:smartTag>
      <w:r>
        <w:t xml:space="preserve"> Employee Personal Identifying Law.</w:t>
      </w:r>
    </w:p>
    <w:p w:rsidR="00230EB2" w:rsidRPr="0077342D" w:rsidRDefault="00230EB2" w:rsidP="00230EB2"/>
    <w:p w:rsidR="00230EB2" w:rsidRDefault="00230EB2" w:rsidP="00230EB2">
      <w:r>
        <w:t xml:space="preserve">As part of ongoing business operations, Company X periodically collects personal identifying information (PII) from its employees and contractors.  Examples may include social security numbers (SSN), driver’s license number, and personal address details.  This information is required for proper screening, management and reporting of human resource activities, as well as the facilitation of information security policies and procedures.  </w:t>
      </w:r>
    </w:p>
    <w:p w:rsidR="00230EB2" w:rsidRDefault="00230EB2" w:rsidP="00230EB2"/>
    <w:p w:rsidR="00230EB2" w:rsidRPr="0077342D" w:rsidRDefault="00230EB2" w:rsidP="00230EB2">
      <w:r>
        <w:t>In recognition of the fact that improper disclosure of an employee’s personal information may subject the individual to various privacy concerns, including the possibility of identity theft, Company X has adopted this Employee Personal Information Privacy Policy to protect the confidentially of all employee data.</w:t>
      </w:r>
    </w:p>
    <w:p w:rsidR="00230EB2" w:rsidRPr="0077342D" w:rsidRDefault="00230EB2" w:rsidP="00230EB2"/>
    <w:p w:rsidR="00230EB2" w:rsidRPr="00230EB2" w:rsidRDefault="00230EB2" w:rsidP="00230EB2">
      <w:pPr>
        <w:pStyle w:val="PolicyElementHeader"/>
        <w:rPr>
          <w:bCs/>
          <w:color w:val="00527A"/>
        </w:rPr>
      </w:pPr>
      <w:bookmarkStart w:id="6" w:name="_Toc385500511"/>
      <w:bookmarkStart w:id="7" w:name="_Toc393402993"/>
      <w:r w:rsidRPr="003F09FA">
        <w:rPr>
          <w:bCs/>
          <w:color w:val="00527A"/>
        </w:rPr>
        <w:t>Scope</w:t>
      </w:r>
      <w:bookmarkEnd w:id="6"/>
      <w:bookmarkEnd w:id="7"/>
    </w:p>
    <w:p w:rsidR="00230EB2" w:rsidRPr="0077342D" w:rsidRDefault="00230EB2" w:rsidP="00230EB2"/>
    <w:p w:rsidR="00230EB2" w:rsidRDefault="00230EB2" w:rsidP="00230EB2">
      <w:r w:rsidRPr="0077342D">
        <w:lastRenderedPageBreak/>
        <w:t xml:space="preserve">This policy applies to employees, contractors, consultants, temporaries, </w:t>
      </w:r>
      <w:r>
        <w:t>and other workers at Company X</w:t>
      </w:r>
      <w:r w:rsidRPr="0077342D">
        <w:t xml:space="preserve">, including all personnel affiliated with third parties. </w:t>
      </w:r>
    </w:p>
    <w:p w:rsidR="005C2F4E" w:rsidRPr="003F09FA" w:rsidRDefault="005C2F4E" w:rsidP="005C2F4E">
      <w:pPr>
        <w:pStyle w:val="PolicyElementHeader"/>
        <w:rPr>
          <w:bCs/>
          <w:color w:val="00527A"/>
        </w:rPr>
      </w:pPr>
      <w:bookmarkStart w:id="8" w:name="_Toc393402994"/>
      <w:r w:rsidRPr="003F09FA">
        <w:rPr>
          <w:bCs/>
          <w:color w:val="00527A"/>
        </w:rPr>
        <w:t>Policy</w:t>
      </w:r>
      <w:bookmarkEnd w:id="4"/>
      <w:bookmarkEnd w:id="8"/>
    </w:p>
    <w:p w:rsidR="00230EB2" w:rsidRDefault="00230EB2" w:rsidP="00230EB2">
      <w:pPr>
        <w:pStyle w:val="Heading3"/>
      </w:pPr>
      <w:bookmarkStart w:id="9" w:name="_Toc385500513"/>
      <w:bookmarkStart w:id="10" w:name="_Toc393402995"/>
      <w:r w:rsidRPr="007110F4">
        <w:t>Management Responsibilities</w:t>
      </w:r>
      <w:bookmarkEnd w:id="9"/>
      <w:bookmarkEnd w:id="10"/>
    </w:p>
    <w:p w:rsidR="00230EB2" w:rsidRDefault="00230EB2" w:rsidP="00230EB2">
      <w:pPr>
        <w:pStyle w:val="PolicyBodyText"/>
      </w:pPr>
      <w:r w:rsidRPr="00A61FB3">
        <w:rPr>
          <w:b/>
        </w:rPr>
        <w:t>Inventory of Employee Personal Information Data Types</w:t>
      </w:r>
      <w:r>
        <w:t xml:space="preserve"> – Company X must perform an annual inventory of all data elements collected, stored or transmitted within company records which may constitute Personal Identifying Information under this policy.   Any information which may contribute the possible theft of an individual’s identity may be considered sensitive personal information and fall under this definition.</w:t>
      </w:r>
    </w:p>
    <w:p w:rsidR="00230EB2" w:rsidRDefault="00230EB2" w:rsidP="00230EB2">
      <w:pPr>
        <w:pStyle w:val="PolicyBodyText"/>
      </w:pPr>
      <w:r w:rsidRPr="00A61FB3">
        <w:rPr>
          <w:b/>
        </w:rPr>
        <w:t>Classification of Employee Personal Identifying Information</w:t>
      </w:r>
      <w:r>
        <w:t xml:space="preserve"> – All data records that contain one or more elements of PII must be classified as “CONFIDENTIAL” data according to the Company X data classification scheme.  </w:t>
      </w:r>
    </w:p>
    <w:p w:rsidR="00230EB2" w:rsidRDefault="00230EB2" w:rsidP="00230EB2">
      <w:pPr>
        <w:pStyle w:val="PolicyBodyText"/>
      </w:pPr>
      <w:r w:rsidRPr="00A61FB3">
        <w:rPr>
          <w:b/>
        </w:rPr>
        <w:t>Personnel Training Required</w:t>
      </w:r>
      <w:r>
        <w:t xml:space="preserve"> – All Company X personnel who handle sensitive PII must be given specific notice and training on the contents of this policy and on specific Company X business processes that prohibit the disclosure of PII to external parties.</w:t>
      </w:r>
    </w:p>
    <w:p w:rsidR="00230EB2" w:rsidRDefault="00230EB2" w:rsidP="00230EB2">
      <w:pPr>
        <w:pStyle w:val="Heading3"/>
      </w:pPr>
      <w:bookmarkStart w:id="11" w:name="_Toc393402996"/>
      <w:r w:rsidRPr="00933FFF">
        <w:t>Prior to Employment</w:t>
      </w:r>
      <w:bookmarkEnd w:id="11"/>
    </w:p>
    <w:p w:rsidR="00230EB2" w:rsidRDefault="00230EB2" w:rsidP="00230EB2">
      <w:pPr>
        <w:pStyle w:val="PolicyBodyText"/>
      </w:pPr>
      <w:r w:rsidRPr="00A61FB3">
        <w:rPr>
          <w:b/>
        </w:rPr>
        <w:t>Prospective Employee Personal Information</w:t>
      </w:r>
      <w:r>
        <w:t xml:space="preserve"> – Sensitive p</w:t>
      </w:r>
      <w:r w:rsidRPr="007110F4">
        <w:t xml:space="preserve">ersonal information about a prospective employee may not be gathered unless it is necessary to make an employment decision and relevant to the job. This policy addresses </w:t>
      </w:r>
      <w:r>
        <w:t xml:space="preserve">social security numbers, </w:t>
      </w:r>
      <w:r w:rsidRPr="007110F4">
        <w:t>marital status, family planning objectives, off-hours activities, political affiliations, performance on previous jobs, previous employers, credit history, education, and other personal details.</w:t>
      </w:r>
    </w:p>
    <w:p w:rsidR="00230EB2" w:rsidRPr="007110F4" w:rsidRDefault="00230EB2" w:rsidP="00230EB2">
      <w:pPr>
        <w:pStyle w:val="Heading3"/>
      </w:pPr>
      <w:bookmarkStart w:id="12" w:name="_Toc385500514"/>
      <w:bookmarkStart w:id="13" w:name="_Toc393402997"/>
      <w:r w:rsidRPr="007110F4">
        <w:t>During Employment</w:t>
      </w:r>
      <w:r>
        <w:t xml:space="preserve"> – Protection of PII</w:t>
      </w:r>
      <w:bookmarkEnd w:id="12"/>
      <w:bookmarkEnd w:id="13"/>
    </w:p>
    <w:p w:rsidR="00230EB2" w:rsidRDefault="00230EB2" w:rsidP="00230EB2">
      <w:pPr>
        <w:pStyle w:val="AuthorComment"/>
      </w:pPr>
      <w:r>
        <w:t>[Sensitive employee data must be protecting throughout its lifecycle, including gathering, storage, transmission and disposal.]</w:t>
      </w:r>
    </w:p>
    <w:p w:rsidR="00230EB2" w:rsidRDefault="00230EB2" w:rsidP="00230EB2"/>
    <w:p w:rsidR="00230EB2" w:rsidRDefault="00230EB2" w:rsidP="00E77547">
      <w:pPr>
        <w:pStyle w:val="PolicyBodyText"/>
      </w:pPr>
      <w:r w:rsidRPr="00891016">
        <w:rPr>
          <w:b/>
          <w:bCs/>
        </w:rPr>
        <w:t>Limited Collection of Employee Personal Information</w:t>
      </w:r>
      <w:r>
        <w:t xml:space="preserve"> – Company X must limit the amount of sensitive personal information gathered for each employee to only the data necessary for managing the business requirements of employment.</w:t>
      </w:r>
    </w:p>
    <w:p w:rsidR="00230EB2" w:rsidRDefault="00230EB2" w:rsidP="00E77547">
      <w:pPr>
        <w:pStyle w:val="PolicyBodyText"/>
      </w:pPr>
      <w:r w:rsidRPr="00BE4356">
        <w:rPr>
          <w:b/>
        </w:rPr>
        <w:t>Surreptitious Collection Of Private Information</w:t>
      </w:r>
      <w:r>
        <w:t xml:space="preserve"> - Company X computer and communications systems must not collect sensitive private data from employees without having obtained their clear and unambiguous consent.</w:t>
      </w:r>
    </w:p>
    <w:p w:rsidR="00230EB2" w:rsidRDefault="00230EB2" w:rsidP="00E77547">
      <w:pPr>
        <w:pStyle w:val="PolicyBodyText"/>
      </w:pPr>
      <w:r w:rsidRPr="00BE4356">
        <w:rPr>
          <w:b/>
        </w:rPr>
        <w:t>Biometric Information Collection</w:t>
      </w:r>
      <w:r>
        <w:t xml:space="preserve"> - Personal biometric information may not be captured by any Company X information systems unless the individual described has been previously notified of and has consented to the capture.</w:t>
      </w:r>
    </w:p>
    <w:p w:rsidR="00230EB2" w:rsidRDefault="00230EB2" w:rsidP="00230EB2">
      <w:pPr>
        <w:pStyle w:val="PolicyBodyText"/>
      </w:pPr>
      <w:r w:rsidRPr="00891016">
        <w:rPr>
          <w:b/>
          <w:bCs/>
        </w:rPr>
        <w:t>Prohibited Use of Social Security Numbers</w:t>
      </w:r>
      <w:r>
        <w:t xml:space="preserve"> – Company X will not use employee PII, such as social security numbers, in the creation and issuing of computer userids, email addresses or other system access controls.</w:t>
      </w:r>
    </w:p>
    <w:p w:rsidR="00230EB2" w:rsidRDefault="00230EB2" w:rsidP="00230EB2">
      <w:pPr>
        <w:pStyle w:val="PolicyBodyText"/>
      </w:pPr>
    </w:p>
    <w:p w:rsidR="00230EB2" w:rsidRDefault="00230EB2" w:rsidP="00E77547">
      <w:pPr>
        <w:pStyle w:val="PolicyBodyText"/>
      </w:pPr>
      <w:r>
        <w:rPr>
          <w:b/>
        </w:rPr>
        <w:t>Encoding</w:t>
      </w:r>
      <w:r w:rsidRPr="0080220B">
        <w:rPr>
          <w:b/>
        </w:rPr>
        <w:t xml:space="preserve"> of Social Security Numbers</w:t>
      </w:r>
      <w:r>
        <w:t xml:space="preserve"> – Company X will not encode sensitive employee data such as social security numbers in any format that disguises the SSN but can be easily read.  Examples include bar codes, RFID tags or magnetic strips.</w:t>
      </w:r>
    </w:p>
    <w:p w:rsidR="00230EB2" w:rsidRDefault="00230EB2" w:rsidP="00E77547">
      <w:pPr>
        <w:pStyle w:val="PolicyBodyText"/>
      </w:pPr>
      <w:r w:rsidRPr="00891016">
        <w:rPr>
          <w:b/>
          <w:bCs/>
        </w:rPr>
        <w:lastRenderedPageBreak/>
        <w:t>Display of Employees PII</w:t>
      </w:r>
      <w:r>
        <w:t xml:space="preserve"> – Company X must not display an employee’s personal information on any printed document used for public display, such as company access badges or ID cards.   </w:t>
      </w:r>
    </w:p>
    <w:p w:rsidR="00230EB2" w:rsidRDefault="00230EB2" w:rsidP="00E77547">
      <w:pPr>
        <w:pStyle w:val="PolicyBodyText"/>
      </w:pPr>
      <w:r w:rsidRPr="00891016">
        <w:rPr>
          <w:b/>
          <w:bCs/>
        </w:rPr>
        <w:t>Prohibited Disclosure of Employee’s Personal Information</w:t>
      </w:r>
      <w:r>
        <w:t xml:space="preserve"> – Company X employees must never disclosure the sensitive personal information of any other employee to the general public, or to another employee of Company X without a legitimate need-to-know.  Questions about this policy should be directed immediately to a supervisor and/or to the </w:t>
      </w:r>
      <w:r w:rsidRPr="009C5E57">
        <w:rPr>
          <w:i/>
        </w:rPr>
        <w:t>Director of Human Resources</w:t>
      </w:r>
      <w:r>
        <w:t>.</w:t>
      </w:r>
    </w:p>
    <w:p w:rsidR="00230EB2" w:rsidRDefault="00230EB2" w:rsidP="00E77547">
      <w:pPr>
        <w:pStyle w:val="PolicyBodyText"/>
      </w:pPr>
      <w:r w:rsidRPr="00891016">
        <w:rPr>
          <w:b/>
          <w:bCs/>
        </w:rPr>
        <w:t>Filing Paper or Electronic Documents</w:t>
      </w:r>
      <w:r>
        <w:t xml:space="preserve"> – Company X must not file any documents containing employee PII that may be subject to public disclosure via public inspection and third-party filings.  (Examples include external licensing boards or certification authorities.)  </w:t>
      </w:r>
    </w:p>
    <w:p w:rsidR="00230EB2" w:rsidRDefault="00230EB2" w:rsidP="00E77547">
      <w:pPr>
        <w:pStyle w:val="PolicyBodyText"/>
      </w:pPr>
      <w:r w:rsidRPr="00891016">
        <w:rPr>
          <w:b/>
          <w:bCs/>
        </w:rPr>
        <w:t>Physical Protection of PII</w:t>
      </w:r>
      <w:r>
        <w:t xml:space="preserve"> – All files containing printed copies of employee PII must be kept in locked file cabinets, secure rooms, or otherwise secured from physical access by personnel not authorized to view these records.</w:t>
      </w:r>
    </w:p>
    <w:p w:rsidR="00230EB2" w:rsidRDefault="00230EB2" w:rsidP="00230EB2">
      <w:pPr>
        <w:pStyle w:val="PolicyBodyText"/>
      </w:pPr>
      <w:r>
        <w:rPr>
          <w:b/>
          <w:bCs/>
        </w:rPr>
        <w:t>Transmission of Electronic Information</w:t>
      </w:r>
      <w:r>
        <w:t xml:space="preserve"> – All transmission of electronic employee PII outside of Company X networks must be encrypted using Company X standard encryption tools authorized by the Information Security Department.  </w:t>
      </w:r>
    </w:p>
    <w:p w:rsidR="00230EB2" w:rsidRDefault="00230EB2" w:rsidP="00230EB2"/>
    <w:p w:rsidR="00230EB2" w:rsidRDefault="00230EB2" w:rsidP="00230EB2">
      <w:pPr>
        <w:pStyle w:val="AuthorComment"/>
      </w:pPr>
      <w:r>
        <w:t xml:space="preserve">[Organizations may wish to change the reporting channels or provide a specific tile and </w:t>
      </w:r>
      <w:smartTag w:uri="urn:schemas-microsoft-com:office:smarttags" w:element="PersonName">
        <w:r>
          <w:t>contact</w:t>
        </w:r>
      </w:smartTag>
      <w:r>
        <w:t xml:space="preserve"> number in this policy statement.]</w:t>
      </w:r>
    </w:p>
    <w:p w:rsidR="00230EB2" w:rsidRDefault="00230EB2" w:rsidP="00230EB2"/>
    <w:p w:rsidR="00230EB2" w:rsidRDefault="00230EB2" w:rsidP="00E77547">
      <w:pPr>
        <w:pStyle w:val="PolicyBodyText"/>
      </w:pPr>
      <w:r w:rsidRPr="009B76D3">
        <w:rPr>
          <w:b/>
          <w:bCs/>
        </w:rPr>
        <w:t>Reporting Suspected Disclosures</w:t>
      </w:r>
      <w:r>
        <w:t xml:space="preserve"> – Employees who believe that their own PII or that of another employee may have been improperly disclosed must immediately report the disclosure to their immediate supervisor and to a member of the Human Resources Department.  </w:t>
      </w:r>
    </w:p>
    <w:p w:rsidR="00230EB2" w:rsidRPr="00230EB2" w:rsidRDefault="00230EB2" w:rsidP="00230EB2">
      <w:pPr>
        <w:pStyle w:val="Heading3"/>
      </w:pPr>
      <w:bookmarkStart w:id="14" w:name="_Toc385500515"/>
      <w:bookmarkStart w:id="15" w:name="_Toc393402998"/>
      <w:r w:rsidRPr="009C5E57">
        <w:t>After Employment</w:t>
      </w:r>
      <w:bookmarkEnd w:id="14"/>
      <w:bookmarkEnd w:id="15"/>
      <w:r w:rsidRPr="009C5E57">
        <w:t xml:space="preserve"> </w:t>
      </w:r>
    </w:p>
    <w:p w:rsidR="00230EB2" w:rsidRDefault="00230EB2" w:rsidP="00E77547">
      <w:pPr>
        <w:pStyle w:val="PolicyBodyText"/>
      </w:pPr>
      <w:r w:rsidRPr="00891016">
        <w:rPr>
          <w:b/>
          <w:bCs/>
        </w:rPr>
        <w:t>Destruction of Employee’s PII</w:t>
      </w:r>
      <w:r>
        <w:t xml:space="preserve"> – All disposal of employees’ PII must be according to established Company X data disposal policies and procedures for sensitive information.  </w:t>
      </w:r>
    </w:p>
    <w:p w:rsidR="00230EB2" w:rsidRDefault="00230EB2" w:rsidP="00230EB2">
      <w:pPr>
        <w:pStyle w:val="PolicyBodyText"/>
      </w:pPr>
      <w:r w:rsidRPr="00891016">
        <w:rPr>
          <w:b/>
          <w:bCs/>
        </w:rPr>
        <w:t>Limited Retention Periods</w:t>
      </w:r>
      <w:r>
        <w:t xml:space="preserve"> – Company X will retain the PII of employees no longer employed at the company for a period of up to one (1) year.   After that time, the records of these employees will be scheduled for destruction and disposal.</w:t>
      </w:r>
    </w:p>
    <w:p w:rsidR="00230EB2" w:rsidRDefault="00230EB2" w:rsidP="00603011">
      <w:pPr>
        <w:spacing w:after="120"/>
        <w:ind w:left="360"/>
      </w:pPr>
    </w:p>
    <w:p w:rsidR="00A437C9" w:rsidRPr="00074BA0" w:rsidRDefault="00924538" w:rsidP="00074BA0">
      <w:pPr>
        <w:pStyle w:val="PolicyElementHeader"/>
        <w:rPr>
          <w:bCs/>
          <w:color w:val="00527A"/>
        </w:rPr>
      </w:pPr>
      <w:bookmarkStart w:id="16" w:name="_Toc393402999"/>
      <w:r>
        <w:rPr>
          <w:bCs/>
          <w:color w:val="00527A"/>
        </w:rPr>
        <w:t>Violations</w:t>
      </w:r>
      <w:bookmarkEnd w:id="5"/>
      <w:bookmarkEnd w:id="16"/>
    </w:p>
    <w:p w:rsidR="003C1B8C" w:rsidRPr="002A7256" w:rsidRDefault="002A7256" w:rsidP="00C64EAF">
      <w:pPr>
        <w:spacing w:after="120"/>
        <w:rPr>
          <w:rFonts w:eastAsia="MS Mincho"/>
        </w:rPr>
      </w:pPr>
      <w:r w:rsidRPr="002A7256">
        <w:rPr>
          <w:rFonts w:eastAsia="MS Mincho"/>
        </w:rPr>
        <w:t xml:space="preserve">Any violation of this policy may result in disciplinary action, up to and including termination of employment.  </w:t>
      </w:r>
      <w:r w:rsidR="005607EA">
        <w:rPr>
          <w:rFonts w:eastAsia="MS Mincho"/>
        </w:rPr>
        <w:t>Company X</w:t>
      </w:r>
      <w:r w:rsidRPr="002A7256">
        <w:rPr>
          <w:rFonts w:eastAsia="MS Mincho"/>
        </w:rPr>
        <w:t xml:space="preserve"> reserves the right to notify the appropriate law enforcement authorities of any unlawful activity and to cooperate in any investigation of such activity. </w:t>
      </w:r>
      <w:r w:rsidR="005607EA">
        <w:rPr>
          <w:rFonts w:eastAsia="MS Mincho"/>
        </w:rPr>
        <w:t>Company X</w:t>
      </w:r>
      <w:r w:rsidRPr="002A7256">
        <w:rPr>
          <w:rFonts w:eastAsia="MS Mincho"/>
        </w:rPr>
        <w:t xml:space="preserve"> does not consider conduct in violation of this policy to be within an employee’s or partner’s course and scope of employment, or the direct consequence of the discharge of the employee’s or partner’s duties. Accordingly, to the extent permitted by law, </w:t>
      </w:r>
      <w:r w:rsidR="005607EA">
        <w:rPr>
          <w:rFonts w:eastAsia="MS Mincho"/>
        </w:rPr>
        <w:t>Company X</w:t>
      </w:r>
      <w:r w:rsidRPr="002A7256">
        <w:rPr>
          <w:rFonts w:eastAsia="MS Mincho"/>
        </w:rPr>
        <w:t xml:space="preserve"> reserves the right not to defend or pay any damages awarded against employees or partners that result from violation of this policy.</w:t>
      </w:r>
    </w:p>
    <w:p w:rsidR="00A437C9" w:rsidRPr="003F09FA" w:rsidRDefault="00A437C9" w:rsidP="003F09FA">
      <w:pPr>
        <w:pStyle w:val="PolicyElementHeader"/>
        <w:rPr>
          <w:bCs/>
          <w:color w:val="00527A"/>
        </w:rPr>
      </w:pPr>
      <w:bookmarkStart w:id="17" w:name="_Toc241985855"/>
      <w:bookmarkStart w:id="18" w:name="_Toc393403000"/>
      <w:r w:rsidRPr="003F09FA">
        <w:rPr>
          <w:bCs/>
          <w:color w:val="00527A"/>
        </w:rPr>
        <w:lastRenderedPageBreak/>
        <w:t>Definitions</w:t>
      </w:r>
      <w:bookmarkEnd w:id="17"/>
      <w:bookmarkEnd w:id="18"/>
    </w:p>
    <w:p w:rsidR="007129D9" w:rsidRDefault="007129D9" w:rsidP="007129D9">
      <w:pPr>
        <w:spacing w:after="120"/>
        <w:jc w:val="both"/>
      </w:pPr>
      <w:r w:rsidRPr="00CA3C71">
        <w:rPr>
          <w:b/>
          <w:bCs/>
        </w:rPr>
        <w:t>Partner</w:t>
      </w:r>
      <w:r w:rsidRPr="00CA3C71">
        <w:rPr>
          <w:b/>
        </w:rPr>
        <w:t xml:space="preserve"> – </w:t>
      </w:r>
      <w:r w:rsidRPr="0034512D">
        <w:t xml:space="preserve">Any non-employee of </w:t>
      </w:r>
      <w:r w:rsidR="005607EA">
        <w:t>Company X</w:t>
      </w:r>
      <w:r w:rsidRPr="0034512D">
        <w:t xml:space="preserve"> who is contractually bound to provide some form of service to </w:t>
      </w:r>
      <w:r w:rsidR="005607EA">
        <w:t>Company X</w:t>
      </w:r>
      <w:r w:rsidRPr="0034512D">
        <w:t>.</w:t>
      </w:r>
    </w:p>
    <w:p w:rsidR="00BE09CB" w:rsidRPr="00E51274" w:rsidRDefault="00BE09CB" w:rsidP="00BE09CB">
      <w:pPr>
        <w:autoSpaceDE w:val="0"/>
        <w:autoSpaceDN w:val="0"/>
        <w:adjustRightInd w:val="0"/>
        <w:spacing w:after="120"/>
        <w:jc w:val="both"/>
        <w:rPr>
          <w:iCs/>
          <w:szCs w:val="22"/>
        </w:rPr>
      </w:pPr>
      <w:r w:rsidRPr="0011413B">
        <w:rPr>
          <w:rStyle w:val="Strong"/>
        </w:rPr>
        <w:t>Opt-Out Notice</w:t>
      </w:r>
      <w:r w:rsidRPr="00E51274">
        <w:rPr>
          <w:szCs w:val="22"/>
        </w:rPr>
        <w:t xml:space="preserve"> </w:t>
      </w:r>
      <w:r>
        <w:rPr>
          <w:b/>
          <w:szCs w:val="22"/>
        </w:rPr>
        <w:t>-</w:t>
      </w:r>
      <w:r w:rsidRPr="00E51274">
        <w:rPr>
          <w:b/>
          <w:szCs w:val="22"/>
        </w:rPr>
        <w:t xml:space="preserve"> </w:t>
      </w:r>
      <w:r w:rsidRPr="00E51274">
        <w:rPr>
          <w:szCs w:val="22"/>
        </w:rPr>
        <w:t xml:space="preserve">Notification to customers that they may choose not to permit </w:t>
      </w:r>
      <w:r w:rsidRPr="00E51274">
        <w:rPr>
          <w:iCs/>
          <w:szCs w:val="22"/>
        </w:rPr>
        <w:t>their information shared with nonaffiliated third parties.</w:t>
      </w:r>
    </w:p>
    <w:p w:rsidR="00BE09CB" w:rsidRPr="00E51274" w:rsidRDefault="00BE09CB" w:rsidP="00BE09CB">
      <w:pPr>
        <w:autoSpaceDE w:val="0"/>
        <w:autoSpaceDN w:val="0"/>
        <w:adjustRightInd w:val="0"/>
        <w:spacing w:after="120"/>
        <w:jc w:val="both"/>
        <w:rPr>
          <w:rFonts w:cs="Arial"/>
          <w:szCs w:val="22"/>
        </w:rPr>
      </w:pPr>
      <w:r w:rsidRPr="0011413B">
        <w:rPr>
          <w:rStyle w:val="Strong"/>
        </w:rPr>
        <w:t>Pretext Calling</w:t>
      </w:r>
      <w:r w:rsidRPr="00E51274">
        <w:rPr>
          <w:bCs/>
          <w:szCs w:val="22"/>
        </w:rPr>
        <w:t xml:space="preserve"> </w:t>
      </w:r>
      <w:r>
        <w:rPr>
          <w:b/>
          <w:bCs/>
          <w:szCs w:val="22"/>
        </w:rPr>
        <w:t>-</w:t>
      </w:r>
      <w:r w:rsidRPr="00E51274">
        <w:rPr>
          <w:b/>
          <w:bCs/>
          <w:szCs w:val="22"/>
        </w:rPr>
        <w:t xml:space="preserve"> </w:t>
      </w:r>
      <w:r w:rsidRPr="00E51274">
        <w:rPr>
          <w:szCs w:val="22"/>
        </w:rPr>
        <w:t>A method of impersonation where  person poses</w:t>
      </w:r>
      <w:r w:rsidRPr="00E51274">
        <w:rPr>
          <w:bCs/>
          <w:szCs w:val="22"/>
        </w:rPr>
        <w:t xml:space="preserve"> as a customer or someone authorized to have customer information in order to obtain confidential customer data.</w:t>
      </w:r>
    </w:p>
    <w:p w:rsidR="00BE09CB" w:rsidRPr="00E51274" w:rsidRDefault="00BE09CB" w:rsidP="00BE09CB">
      <w:pPr>
        <w:spacing w:after="120"/>
        <w:jc w:val="both"/>
        <w:rPr>
          <w:bCs/>
          <w:szCs w:val="22"/>
        </w:rPr>
      </w:pPr>
      <w:r w:rsidRPr="0011413B">
        <w:rPr>
          <w:rStyle w:val="Strong"/>
        </w:rPr>
        <w:t>Privacy Program</w:t>
      </w:r>
      <w:r w:rsidRPr="00E51274">
        <w:rPr>
          <w:bCs/>
          <w:szCs w:val="22"/>
        </w:rPr>
        <w:t xml:space="preserve"> </w:t>
      </w:r>
      <w:r>
        <w:rPr>
          <w:b/>
          <w:bCs/>
          <w:szCs w:val="22"/>
        </w:rPr>
        <w:t>-</w:t>
      </w:r>
      <w:r w:rsidRPr="00E51274">
        <w:rPr>
          <w:b/>
          <w:bCs/>
          <w:szCs w:val="22"/>
        </w:rPr>
        <w:t xml:space="preserve"> </w:t>
      </w:r>
      <w:r w:rsidRPr="00E51274">
        <w:rPr>
          <w:bCs/>
          <w:szCs w:val="22"/>
        </w:rPr>
        <w:t>The guidance provided that will enable</w:t>
      </w:r>
      <w:r w:rsidRPr="00E51274">
        <w:rPr>
          <w:szCs w:val="22"/>
        </w:rPr>
        <w:t xml:space="preserve"> </w:t>
      </w:r>
      <w:r w:rsidR="005607EA">
        <w:rPr>
          <w:szCs w:val="22"/>
        </w:rPr>
        <w:t>Company X</w:t>
      </w:r>
      <w:r w:rsidRPr="00E51274">
        <w:rPr>
          <w:szCs w:val="22"/>
        </w:rPr>
        <w:t xml:space="preserve"> to maintain information about individuals while protecting the right of the individuals against unwarranted or illegal invasions of their privacy.</w:t>
      </w:r>
    </w:p>
    <w:p w:rsidR="00BE09CB" w:rsidRDefault="00BE09CB" w:rsidP="00BE09CB">
      <w:pPr>
        <w:spacing w:after="120"/>
        <w:jc w:val="both"/>
        <w:rPr>
          <w:szCs w:val="22"/>
        </w:rPr>
      </w:pPr>
      <w:r w:rsidRPr="0011413B">
        <w:rPr>
          <w:rStyle w:val="Strong"/>
        </w:rPr>
        <w:t>Partner</w:t>
      </w:r>
      <w:r w:rsidRPr="00E51274">
        <w:rPr>
          <w:b/>
          <w:szCs w:val="22"/>
        </w:rPr>
        <w:t xml:space="preserve"> </w:t>
      </w:r>
      <w:r>
        <w:rPr>
          <w:b/>
          <w:szCs w:val="22"/>
        </w:rPr>
        <w:t>-</w:t>
      </w:r>
      <w:r w:rsidRPr="00E51274">
        <w:rPr>
          <w:b/>
          <w:szCs w:val="22"/>
        </w:rPr>
        <w:t xml:space="preserve"> </w:t>
      </w:r>
      <w:r w:rsidRPr="00E51274">
        <w:rPr>
          <w:szCs w:val="22"/>
        </w:rPr>
        <w:t xml:space="preserve">Any non-employee of </w:t>
      </w:r>
      <w:r w:rsidR="005607EA">
        <w:rPr>
          <w:szCs w:val="22"/>
        </w:rPr>
        <w:t>Company X</w:t>
      </w:r>
      <w:r w:rsidRPr="00E51274">
        <w:rPr>
          <w:szCs w:val="22"/>
        </w:rPr>
        <w:t xml:space="preserve"> who is contractually bound to provide some form of service to </w:t>
      </w:r>
      <w:r w:rsidR="005607EA">
        <w:rPr>
          <w:szCs w:val="22"/>
        </w:rPr>
        <w:t>Company X</w:t>
      </w:r>
      <w:r w:rsidRPr="00E51274">
        <w:rPr>
          <w:szCs w:val="22"/>
        </w:rPr>
        <w:t>.</w:t>
      </w:r>
    </w:p>
    <w:p w:rsidR="00230EB2" w:rsidRDefault="00230EB2" w:rsidP="00230EB2">
      <w:pPr>
        <w:pStyle w:val="AuthorComment"/>
      </w:pPr>
      <w:r w:rsidRPr="0077342D">
        <w:t xml:space="preserve"> [</w:t>
      </w:r>
      <w:r>
        <w:t>This section contains the definition of the PII that your organization will use to define this policy.  The type of information will vary from state to state and business to business</w:t>
      </w:r>
      <w:r w:rsidRPr="0077342D">
        <w:t>.]</w:t>
      </w:r>
    </w:p>
    <w:p w:rsidR="00230EB2" w:rsidRPr="0077342D" w:rsidRDefault="00230EB2" w:rsidP="00230EB2"/>
    <w:p w:rsidR="00230EB2" w:rsidRDefault="00230EB2" w:rsidP="00230EB2">
      <w:r>
        <w:rPr>
          <w:rStyle w:val="PolicyDefinitionChar"/>
        </w:rPr>
        <w:t>P</w:t>
      </w:r>
      <w:r w:rsidRPr="00F000BD">
        <w:rPr>
          <w:rStyle w:val="PolicyDefinitionChar"/>
        </w:rPr>
        <w:t>ersonal identifying information</w:t>
      </w:r>
      <w:r>
        <w:rPr>
          <w:rStyle w:val="PolicyDefinitionChar"/>
        </w:rPr>
        <w:t xml:space="preserve"> (PII)</w:t>
      </w:r>
      <w:r>
        <w:t xml:space="preserve"> - </w:t>
      </w:r>
      <w:r w:rsidRPr="00C10491">
        <w:t>Information that alone, or when combined with other personal or identifying information can be used to uniquely identify, contact, or locate a single person or can be used with other sources to uniquely identify a single individual.</w:t>
      </w:r>
      <w:r>
        <w:t>.  For the purpose of this policy, PII includes the following:</w:t>
      </w:r>
    </w:p>
    <w:p w:rsidR="00230EB2" w:rsidRDefault="00230EB2" w:rsidP="00230EB2"/>
    <w:p w:rsidR="00230EB2" w:rsidRDefault="00230EB2" w:rsidP="00230EB2">
      <w:pPr>
        <w:numPr>
          <w:ilvl w:val="0"/>
          <w:numId w:val="7"/>
        </w:numPr>
      </w:pPr>
      <w:r>
        <w:t>Social Security numbers (“SSNs”)</w:t>
      </w:r>
    </w:p>
    <w:p w:rsidR="00230EB2" w:rsidRDefault="00230EB2" w:rsidP="00230EB2">
      <w:pPr>
        <w:numPr>
          <w:ilvl w:val="0"/>
          <w:numId w:val="7"/>
        </w:numPr>
      </w:pPr>
      <w:r>
        <w:t>Home address or telephone numbers</w:t>
      </w:r>
    </w:p>
    <w:p w:rsidR="00230EB2" w:rsidRDefault="00230EB2" w:rsidP="00230EB2">
      <w:pPr>
        <w:numPr>
          <w:ilvl w:val="0"/>
          <w:numId w:val="7"/>
        </w:numPr>
      </w:pPr>
      <w:r>
        <w:t>Personal e-mail addresses</w:t>
      </w:r>
    </w:p>
    <w:p w:rsidR="00230EB2" w:rsidRDefault="00230EB2" w:rsidP="00230EB2">
      <w:pPr>
        <w:numPr>
          <w:ilvl w:val="0"/>
          <w:numId w:val="7"/>
        </w:numPr>
      </w:pPr>
      <w:r>
        <w:t>Internet user IDs and passwords</w:t>
      </w:r>
    </w:p>
    <w:p w:rsidR="00230EB2" w:rsidRDefault="00230EB2" w:rsidP="00230EB2">
      <w:pPr>
        <w:numPr>
          <w:ilvl w:val="0"/>
          <w:numId w:val="7"/>
        </w:numPr>
      </w:pPr>
      <w:r>
        <w:t>Driver’s license numbers</w:t>
      </w:r>
    </w:p>
    <w:p w:rsidR="00230EB2" w:rsidRDefault="00230EB2" w:rsidP="00230EB2">
      <w:pPr>
        <w:numPr>
          <w:ilvl w:val="0"/>
          <w:numId w:val="7"/>
        </w:numPr>
      </w:pPr>
      <w:r>
        <w:t>Parents’ last names prior to marriage</w:t>
      </w:r>
    </w:p>
    <w:p w:rsidR="00230EB2" w:rsidRDefault="00230EB2" w:rsidP="00230EB2">
      <w:pPr>
        <w:numPr>
          <w:ilvl w:val="0"/>
          <w:numId w:val="7"/>
        </w:numPr>
      </w:pPr>
      <w:r>
        <w:t xml:space="preserve">Biometric Data </w:t>
      </w:r>
    </w:p>
    <w:p w:rsidR="00230EB2" w:rsidRPr="00C636ED" w:rsidRDefault="00230EB2" w:rsidP="00230EB2">
      <w:pPr>
        <w:ind w:left="360"/>
      </w:pPr>
    </w:p>
    <w:p w:rsidR="00F51BD1" w:rsidRDefault="007129D9" w:rsidP="00C64EAF">
      <w:pPr>
        <w:spacing w:after="120"/>
        <w:jc w:val="both"/>
      </w:pPr>
      <w:r w:rsidRPr="00EC4A77">
        <w:rPr>
          <w:b/>
          <w:bCs/>
        </w:rPr>
        <w:t>User</w:t>
      </w:r>
      <w:r w:rsidRPr="00EC4A77">
        <w:rPr>
          <w:b/>
        </w:rPr>
        <w:t xml:space="preserve"> - </w:t>
      </w:r>
      <w:r w:rsidRPr="00EC4A77">
        <w:t xml:space="preserve">Any </w:t>
      </w:r>
      <w:r w:rsidR="005607EA">
        <w:t>Company X</w:t>
      </w:r>
      <w:r w:rsidRPr="00EC4A77">
        <w:t xml:space="preserve"> employee or partner who has been authorized to access any </w:t>
      </w:r>
      <w:r w:rsidR="005607EA">
        <w:t>Company X</w:t>
      </w:r>
      <w:r w:rsidRPr="00EC4A77">
        <w:t xml:space="preserve"> electronic information resource.</w:t>
      </w:r>
    </w:p>
    <w:p w:rsidR="00D13DA3" w:rsidRDefault="00D13DA3" w:rsidP="00D13DA3">
      <w:pPr>
        <w:pStyle w:val="PolicyElementHeader"/>
        <w:rPr>
          <w:color w:val="00527A"/>
          <w:szCs w:val="28"/>
        </w:rPr>
      </w:pPr>
      <w:bookmarkStart w:id="19" w:name="_Toc178155364"/>
      <w:bookmarkStart w:id="20" w:name="_Toc241985856"/>
      <w:bookmarkStart w:id="21" w:name="_Toc393403001"/>
      <w:r>
        <w:rPr>
          <w:color w:val="00527A"/>
          <w:szCs w:val="28"/>
        </w:rPr>
        <w:t>References</w:t>
      </w:r>
      <w:bookmarkEnd w:id="19"/>
      <w:bookmarkEnd w:id="20"/>
      <w:bookmarkEnd w:id="21"/>
    </w:p>
    <w:p w:rsidR="00230EB2" w:rsidRDefault="00230EB2" w:rsidP="00F151DF">
      <w:bookmarkStart w:id="22" w:name="_Toc178155365"/>
      <w:bookmarkStart w:id="23" w:name="_Toc241985857"/>
    </w:p>
    <w:p w:rsidR="00230EB2" w:rsidRDefault="00230EB2" w:rsidP="00230EB2">
      <w:pPr>
        <w:rPr>
          <w:i/>
          <w:color w:val="666699"/>
          <w:sz w:val="20"/>
        </w:rPr>
      </w:pPr>
      <w:r w:rsidRPr="007110F4">
        <w:rPr>
          <w:i/>
          <w:color w:val="666699"/>
          <w:sz w:val="20"/>
        </w:rPr>
        <w:t xml:space="preserve">At least 30 different </w:t>
      </w:r>
      <w:smartTag w:uri="urn:schemas-microsoft-com:office:smarttags" w:element="place">
        <w:smartTag w:uri="urn:schemas-microsoft-com:office:smarttags" w:element="country-region">
          <w:r w:rsidRPr="007110F4">
            <w:rPr>
              <w:i/>
              <w:color w:val="666699"/>
              <w:sz w:val="20"/>
            </w:rPr>
            <w:t>U.S.</w:t>
          </w:r>
        </w:smartTag>
      </w:smartTag>
      <w:r w:rsidRPr="007110F4">
        <w:rPr>
          <w:i/>
          <w:color w:val="666699"/>
          <w:sz w:val="20"/>
        </w:rPr>
        <w:t xml:space="preserve"> states have laws that protect the sensitive information of employees, including social security numbers.  </w:t>
      </w:r>
      <w:r>
        <w:rPr>
          <w:i/>
          <w:color w:val="666699"/>
          <w:sz w:val="20"/>
        </w:rPr>
        <w:t>Use this section to refer the specific state laws that impact your organization.</w:t>
      </w:r>
    </w:p>
    <w:p w:rsidR="00230EB2" w:rsidRPr="007110F4" w:rsidRDefault="00230EB2" w:rsidP="00230EB2">
      <w:pPr>
        <w:rPr>
          <w:i/>
          <w:color w:val="666699"/>
          <w:sz w:val="20"/>
        </w:rPr>
      </w:pPr>
    </w:p>
    <w:p w:rsidR="00230EB2" w:rsidRPr="007110F4" w:rsidRDefault="00230EB2" w:rsidP="00230EB2">
      <w:r>
        <w:t xml:space="preserve">At least 30 different </w:t>
      </w:r>
      <w:smartTag w:uri="urn:schemas-microsoft-com:office:smarttags" w:element="country-region">
        <w:smartTag w:uri="urn:schemas-microsoft-com:office:smarttags" w:element="place">
          <w:r>
            <w:t>U.S.</w:t>
          </w:r>
        </w:smartTag>
      </w:smartTag>
      <w:r>
        <w:t xml:space="preserve"> states have laws that protect the sensitive information of employees, including social security numbers.  </w:t>
      </w:r>
      <w:r w:rsidRPr="007110F4">
        <w:t xml:space="preserve">States and territories that have enacted legislation regulating the use of SSNs include Alaska, Arizona, Arkansas, California, Colorado, Connecticut, Georgia, Hawaii, Idaho, Illinois, Kansas, Maine, Maryland, Massachusetts, Michigan, Minnesota, Missouri, Nebraska, New Jersey, New Mexico, New York, North Carolina, Oklahoma, Oregon, Pennsylvania, Rhode Island, South Carolina, Tennessee, Texas, Utah, Vermont, Virginia, and Puerto Rico.  Although most of these state statutes generally apply to persons doing business in the state, some state laws, such as the </w:t>
      </w:r>
      <w:smartTag w:uri="urn:schemas-microsoft-com:office:smarttags" w:element="State">
        <w:r w:rsidRPr="007110F4">
          <w:t>Oklahoma</w:t>
        </w:r>
      </w:smartTag>
      <w:r w:rsidRPr="007110F4">
        <w:t xml:space="preserve"> and </w:t>
      </w:r>
      <w:smartTag w:uri="urn:schemas-microsoft-com:office:smarttags" w:element="State">
        <w:smartTag w:uri="urn:schemas-microsoft-com:office:smarttags" w:element="place">
          <w:r w:rsidRPr="007110F4">
            <w:t>Nebraska</w:t>
          </w:r>
        </w:smartTag>
      </w:smartTag>
      <w:r w:rsidRPr="007110F4">
        <w:t xml:space="preserve"> law, apply specifically in the employment context.  These state statutes have a range of effective dates.</w:t>
      </w:r>
    </w:p>
    <w:p w:rsidR="00230EB2" w:rsidRDefault="00230EB2" w:rsidP="00230EB2"/>
    <w:p w:rsidR="00230EB2" w:rsidRDefault="00230EB2" w:rsidP="00230EB2">
      <w:r>
        <w:t>CPL: 16.1 Employee Privacy Management</w:t>
      </w:r>
    </w:p>
    <w:p w:rsidR="00230EB2" w:rsidRDefault="00230EB2" w:rsidP="00230EB2">
      <w:r>
        <w:lastRenderedPageBreak/>
        <w:t>ISO 27002: 18.1.4</w:t>
      </w:r>
      <w:r w:rsidRPr="001A2AEA">
        <w:t xml:space="preserve"> Privacy and protection of personally identifiable information</w:t>
      </w:r>
    </w:p>
    <w:p w:rsidR="00230EB2" w:rsidRDefault="00230EB2" w:rsidP="00230EB2">
      <w:r>
        <w:t>HIPAA: Privacy Rules</w:t>
      </w:r>
    </w:p>
    <w:p w:rsidR="00230EB2" w:rsidRDefault="00230EB2" w:rsidP="00230EB2">
      <w:r w:rsidRPr="001A2AEA">
        <w:t xml:space="preserve">NIST: </w:t>
      </w:r>
      <w:r>
        <w:t>Appendix J: Privacy Controls</w:t>
      </w:r>
    </w:p>
    <w:p w:rsidR="00230EB2" w:rsidRPr="00701546" w:rsidRDefault="00230EB2" w:rsidP="00F151DF"/>
    <w:p w:rsidR="00F51BD1" w:rsidRPr="007D37A8" w:rsidRDefault="00D13DA3" w:rsidP="007D37A8">
      <w:pPr>
        <w:pStyle w:val="PolicyElementHeader"/>
        <w:rPr>
          <w:color w:val="00527A"/>
          <w:szCs w:val="28"/>
        </w:rPr>
      </w:pPr>
      <w:bookmarkStart w:id="24" w:name="_Toc393403002"/>
      <w:r>
        <w:rPr>
          <w:color w:val="00527A"/>
          <w:szCs w:val="28"/>
        </w:rPr>
        <w:t>Related Documents</w:t>
      </w:r>
      <w:bookmarkEnd w:id="22"/>
      <w:bookmarkEnd w:id="23"/>
      <w:bookmarkEnd w:id="24"/>
    </w:p>
    <w:p w:rsidR="00EE5F8F" w:rsidRDefault="00EE5F8F"/>
    <w:p w:rsidR="00D13DA3" w:rsidRPr="00EF734B" w:rsidRDefault="00D13DA3" w:rsidP="00EF734B">
      <w:pPr>
        <w:pStyle w:val="PolicyElementHeader"/>
        <w:rPr>
          <w:bCs/>
          <w:color w:val="00527A"/>
        </w:rPr>
      </w:pPr>
      <w:bookmarkStart w:id="25" w:name="_Toc241985858"/>
      <w:bookmarkStart w:id="26" w:name="_Toc393403003"/>
      <w:r w:rsidRPr="00EF734B">
        <w:rPr>
          <w:bCs/>
          <w:color w:val="00527A"/>
        </w:rPr>
        <w:t>Approval and Ownership</w:t>
      </w:r>
      <w:bookmarkEnd w:id="25"/>
      <w:bookmarkEnd w:id="26"/>
    </w:p>
    <w:p w:rsidR="00385F82" w:rsidRPr="00385F82" w:rsidRDefault="00385F82" w:rsidP="00385F8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520"/>
        <w:gridCol w:w="1980"/>
        <w:gridCol w:w="2340"/>
      </w:tblGrid>
      <w:tr w:rsidR="00D13DA3">
        <w:trPr>
          <w:trHeight w:val="346"/>
        </w:trPr>
        <w:tc>
          <w:tcPr>
            <w:tcW w:w="2520" w:type="dxa"/>
            <w:shd w:val="pct10" w:color="auto" w:fill="auto"/>
            <w:tcMar>
              <w:top w:w="29" w:type="dxa"/>
              <w:left w:w="115" w:type="dxa"/>
              <w:bottom w:w="29" w:type="dxa"/>
              <w:right w:w="115" w:type="dxa"/>
            </w:tcMar>
            <w:vAlign w:val="center"/>
          </w:tcPr>
          <w:p w:rsidR="00D13DA3" w:rsidRDefault="006C099D" w:rsidP="007D37A8">
            <w:pPr>
              <w:pStyle w:val="FooterTableHeader"/>
            </w:pPr>
            <w:r>
              <w:t>Owner</w:t>
            </w:r>
          </w:p>
        </w:tc>
        <w:tc>
          <w:tcPr>
            <w:tcW w:w="2520" w:type="dxa"/>
            <w:shd w:val="pct10" w:color="auto" w:fill="auto"/>
            <w:tcMar>
              <w:top w:w="29" w:type="dxa"/>
              <w:left w:w="115" w:type="dxa"/>
              <w:bottom w:w="29" w:type="dxa"/>
              <w:right w:w="115" w:type="dxa"/>
            </w:tcMar>
            <w:vAlign w:val="center"/>
          </w:tcPr>
          <w:p w:rsidR="00D13DA3" w:rsidRDefault="00D13DA3"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D13DA3" w:rsidRDefault="00D13DA3" w:rsidP="007D37A8">
            <w:pPr>
              <w:pStyle w:val="FooterTableHeader"/>
            </w:pPr>
            <w:r>
              <w:t>Date</w:t>
            </w:r>
          </w:p>
        </w:tc>
        <w:tc>
          <w:tcPr>
            <w:tcW w:w="2340" w:type="dxa"/>
            <w:shd w:val="pct10" w:color="auto" w:fill="auto"/>
            <w:tcMar>
              <w:top w:w="29" w:type="dxa"/>
              <w:left w:w="115" w:type="dxa"/>
              <w:bottom w:w="29" w:type="dxa"/>
              <w:right w:w="115" w:type="dxa"/>
            </w:tcMar>
            <w:vAlign w:val="center"/>
          </w:tcPr>
          <w:p w:rsidR="00D13DA3" w:rsidRDefault="00D13DA3" w:rsidP="007D37A8">
            <w:pPr>
              <w:pStyle w:val="FooterTableHeader"/>
            </w:pPr>
            <w:r>
              <w:t>Signature</w:t>
            </w:r>
          </w:p>
        </w:tc>
      </w:tr>
      <w:tr w:rsidR="002B50C6">
        <w:trPr>
          <w:trHeight w:val="346"/>
        </w:trPr>
        <w:tc>
          <w:tcPr>
            <w:tcW w:w="2520" w:type="dxa"/>
            <w:tcBorders>
              <w:bottom w:val="single" w:sz="4" w:space="0" w:color="auto"/>
            </w:tcBorders>
            <w:tcMar>
              <w:top w:w="29" w:type="dxa"/>
              <w:left w:w="115" w:type="dxa"/>
              <w:bottom w:w="29" w:type="dxa"/>
              <w:right w:w="115" w:type="dxa"/>
            </w:tcMar>
            <w:vAlign w:val="center"/>
          </w:tcPr>
          <w:p w:rsidR="002B50C6" w:rsidRPr="0043775C" w:rsidRDefault="005607EA" w:rsidP="007D37A8">
            <w:pPr>
              <w:pStyle w:val="PolicyHeaderFill"/>
            </w:pPr>
            <w:r>
              <w:t>Policy Author</w:t>
            </w:r>
          </w:p>
        </w:tc>
        <w:tc>
          <w:tcPr>
            <w:tcW w:w="2520" w:type="dxa"/>
            <w:tcBorders>
              <w:bottom w:val="single" w:sz="4" w:space="0" w:color="auto"/>
            </w:tcBorders>
            <w:tcMar>
              <w:top w:w="29" w:type="dxa"/>
              <w:left w:w="115" w:type="dxa"/>
              <w:bottom w:w="29" w:type="dxa"/>
              <w:right w:w="115" w:type="dxa"/>
            </w:tcMar>
            <w:vAlign w:val="center"/>
          </w:tcPr>
          <w:p w:rsidR="002B50C6" w:rsidRPr="0043775C" w:rsidRDefault="00B53867" w:rsidP="007D37A8">
            <w:pPr>
              <w:pStyle w:val="PolicyHeaderFill"/>
            </w:pPr>
            <w:r>
              <w:t>Title</w:t>
            </w:r>
          </w:p>
        </w:tc>
        <w:tc>
          <w:tcPr>
            <w:tcW w:w="1980" w:type="dxa"/>
            <w:tcBorders>
              <w:bottom w:val="single" w:sz="4" w:space="0" w:color="auto"/>
            </w:tcBorders>
            <w:tcMar>
              <w:top w:w="29" w:type="dxa"/>
              <w:left w:w="115" w:type="dxa"/>
              <w:bottom w:w="29" w:type="dxa"/>
              <w:right w:w="115" w:type="dxa"/>
            </w:tcMar>
            <w:vAlign w:val="center"/>
          </w:tcPr>
          <w:p w:rsidR="002B50C6" w:rsidRPr="0043775C" w:rsidRDefault="0091236C" w:rsidP="007D37A8">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2B50C6" w:rsidRDefault="002B50C6" w:rsidP="007D37A8">
            <w:pPr>
              <w:jc w:val="center"/>
            </w:pPr>
          </w:p>
        </w:tc>
      </w:tr>
      <w:tr w:rsidR="002B50C6">
        <w:trPr>
          <w:trHeight w:val="346"/>
        </w:trPr>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Approved By</w:t>
            </w:r>
          </w:p>
        </w:tc>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2B50C6" w:rsidRDefault="002B50C6" w:rsidP="007D37A8">
            <w:pPr>
              <w:pStyle w:val="FooterTableHeader"/>
            </w:pPr>
            <w:r>
              <w:t>Date</w:t>
            </w:r>
          </w:p>
        </w:tc>
        <w:tc>
          <w:tcPr>
            <w:tcW w:w="2340" w:type="dxa"/>
            <w:shd w:val="pct10" w:color="auto" w:fill="auto"/>
            <w:tcMar>
              <w:top w:w="29" w:type="dxa"/>
              <w:left w:w="115" w:type="dxa"/>
              <w:bottom w:w="29" w:type="dxa"/>
              <w:right w:w="115" w:type="dxa"/>
            </w:tcMar>
            <w:vAlign w:val="center"/>
          </w:tcPr>
          <w:p w:rsidR="002B50C6" w:rsidRDefault="002B50C6" w:rsidP="007D37A8">
            <w:pPr>
              <w:pStyle w:val="FooterTableHeader"/>
            </w:pPr>
            <w:r>
              <w:t>Signature</w:t>
            </w:r>
          </w:p>
        </w:tc>
      </w:tr>
      <w:tr w:rsidR="002B50C6">
        <w:trPr>
          <w:trHeight w:val="346"/>
        </w:trPr>
        <w:tc>
          <w:tcPr>
            <w:tcW w:w="2520" w:type="dxa"/>
            <w:tcMar>
              <w:top w:w="29" w:type="dxa"/>
              <w:left w:w="115" w:type="dxa"/>
              <w:bottom w:w="29" w:type="dxa"/>
              <w:right w:w="115" w:type="dxa"/>
            </w:tcMar>
            <w:vAlign w:val="center"/>
          </w:tcPr>
          <w:p w:rsidR="002B50C6" w:rsidRPr="0043775C" w:rsidRDefault="00B53867" w:rsidP="007D37A8">
            <w:pPr>
              <w:pStyle w:val="PolicyHeaderFill"/>
            </w:pPr>
            <w:r w:rsidRPr="0093202E">
              <w:rPr>
                <w:highlight w:val="yellow"/>
              </w:rPr>
              <w:t>Executive Sponsor</w:t>
            </w:r>
          </w:p>
        </w:tc>
        <w:tc>
          <w:tcPr>
            <w:tcW w:w="2520" w:type="dxa"/>
            <w:tcMar>
              <w:top w:w="29" w:type="dxa"/>
              <w:left w:w="115" w:type="dxa"/>
              <w:bottom w:w="29" w:type="dxa"/>
              <w:right w:w="115" w:type="dxa"/>
            </w:tcMar>
            <w:vAlign w:val="center"/>
          </w:tcPr>
          <w:p w:rsidR="002B50C6" w:rsidRPr="0043775C" w:rsidRDefault="00B53867" w:rsidP="007D37A8">
            <w:pPr>
              <w:pStyle w:val="PolicyHeaderFill"/>
            </w:pPr>
            <w:r>
              <w:t>Title</w:t>
            </w:r>
          </w:p>
        </w:tc>
        <w:tc>
          <w:tcPr>
            <w:tcW w:w="1980" w:type="dxa"/>
            <w:tcMar>
              <w:top w:w="29" w:type="dxa"/>
              <w:left w:w="115" w:type="dxa"/>
              <w:bottom w:w="29" w:type="dxa"/>
              <w:right w:w="115" w:type="dxa"/>
            </w:tcMar>
            <w:vAlign w:val="center"/>
          </w:tcPr>
          <w:p w:rsidR="002B50C6" w:rsidRPr="0043775C" w:rsidRDefault="0091236C" w:rsidP="007D37A8">
            <w:pPr>
              <w:pStyle w:val="PolicyHeaderFill"/>
            </w:pPr>
            <w:r>
              <w:t>MM/DD/YYYY</w:t>
            </w:r>
          </w:p>
        </w:tc>
        <w:tc>
          <w:tcPr>
            <w:tcW w:w="2340" w:type="dxa"/>
            <w:tcMar>
              <w:top w:w="29" w:type="dxa"/>
              <w:left w:w="115" w:type="dxa"/>
              <w:bottom w:w="29" w:type="dxa"/>
              <w:right w:w="115" w:type="dxa"/>
            </w:tcMar>
            <w:vAlign w:val="center"/>
          </w:tcPr>
          <w:p w:rsidR="002B50C6" w:rsidRDefault="002B50C6" w:rsidP="007D37A8">
            <w:pPr>
              <w:jc w:val="center"/>
            </w:pPr>
          </w:p>
        </w:tc>
      </w:tr>
    </w:tbl>
    <w:p w:rsidR="002B50C6" w:rsidRPr="00EF734B" w:rsidRDefault="002B50C6" w:rsidP="00EF734B">
      <w:pPr>
        <w:pStyle w:val="PolicyElementHeader"/>
        <w:rPr>
          <w:bCs/>
          <w:color w:val="00527A"/>
        </w:rPr>
      </w:pPr>
      <w:bookmarkStart w:id="27" w:name="_Toc241985859"/>
      <w:bookmarkStart w:id="28" w:name="_Toc393403004"/>
      <w:r w:rsidRPr="00EF734B">
        <w:rPr>
          <w:bCs/>
          <w:color w:val="00527A"/>
        </w:rPr>
        <w:t>Revision History</w:t>
      </w:r>
      <w:bookmarkEnd w:id="27"/>
      <w:bookmarkEnd w:id="28"/>
    </w:p>
    <w:p w:rsidR="002B50C6" w:rsidRDefault="002B50C6" w:rsidP="002B50C6"/>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DA209E" w:rsidRPr="0076502A">
        <w:trPr>
          <w:trHeight w:val="566"/>
        </w:trPr>
        <w:tc>
          <w:tcPr>
            <w:tcW w:w="624" w:type="pct"/>
            <w:shd w:val="pct10" w:color="auto" w:fill="auto"/>
            <w:vAlign w:val="center"/>
          </w:tcPr>
          <w:p w:rsidR="00DA209E" w:rsidRPr="00DA209E" w:rsidRDefault="00DA209E" w:rsidP="009246D3">
            <w:pPr>
              <w:pStyle w:val="FooterTableHeader"/>
            </w:pPr>
            <w:r w:rsidRPr="00DA209E">
              <w:t>Version</w:t>
            </w:r>
          </w:p>
        </w:tc>
        <w:tc>
          <w:tcPr>
            <w:tcW w:w="1540" w:type="pct"/>
            <w:shd w:val="pct10" w:color="auto" w:fill="auto"/>
            <w:vAlign w:val="center"/>
          </w:tcPr>
          <w:p w:rsidR="00DA209E" w:rsidRPr="00DA209E" w:rsidRDefault="00DA209E" w:rsidP="009246D3">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t>Reviewer/Approver</w:t>
            </w:r>
            <w:r w:rsidRPr="00DA209E">
              <w:br/>
              <w:t>Name</w:t>
            </w:r>
          </w:p>
        </w:tc>
      </w:tr>
      <w:tr w:rsidR="00DA209E" w:rsidRPr="0076502A">
        <w:trPr>
          <w:trHeight w:val="288"/>
        </w:trPr>
        <w:tc>
          <w:tcPr>
            <w:tcW w:w="624" w:type="pct"/>
            <w:vAlign w:val="center"/>
          </w:tcPr>
          <w:p w:rsidR="00DA209E" w:rsidRPr="00DA209E" w:rsidRDefault="00DA209E" w:rsidP="009246D3">
            <w:pPr>
              <w:pStyle w:val="PolicyHeaderFill"/>
            </w:pPr>
            <w:r w:rsidRPr="00DA209E">
              <w:t>1.0</w:t>
            </w:r>
          </w:p>
        </w:tc>
        <w:tc>
          <w:tcPr>
            <w:tcW w:w="1540" w:type="pct"/>
            <w:vAlign w:val="center"/>
          </w:tcPr>
          <w:p w:rsidR="00DA209E" w:rsidRPr="00DA209E" w:rsidRDefault="00DA209E" w:rsidP="009246D3">
            <w:pPr>
              <w:pStyle w:val="PolicyHeaderFill"/>
            </w:pPr>
            <w:r w:rsidRPr="00DA209E">
              <w:t>Initial Version</w:t>
            </w:r>
          </w:p>
        </w:tc>
        <w:tc>
          <w:tcPr>
            <w:tcW w:w="817" w:type="pct"/>
            <w:tcMar>
              <w:top w:w="29" w:type="dxa"/>
              <w:left w:w="115" w:type="dxa"/>
              <w:bottom w:w="29" w:type="dxa"/>
              <w:right w:w="115" w:type="dxa"/>
            </w:tcMar>
            <w:vAlign w:val="center"/>
          </w:tcPr>
          <w:p w:rsidR="00DA209E" w:rsidRPr="00DA209E" w:rsidRDefault="0091236C" w:rsidP="009246D3">
            <w:pPr>
              <w:pStyle w:val="PolicyHeaderFill"/>
            </w:pPr>
            <w:r>
              <w:t>MM/DD/YYYY</w:t>
            </w:r>
          </w:p>
        </w:tc>
        <w:tc>
          <w:tcPr>
            <w:tcW w:w="817" w:type="pct"/>
            <w:tcMar>
              <w:top w:w="29" w:type="dxa"/>
              <w:left w:w="115" w:type="dxa"/>
              <w:bottom w:w="29" w:type="dxa"/>
              <w:right w:w="115" w:type="dxa"/>
            </w:tcMar>
            <w:vAlign w:val="center"/>
          </w:tcPr>
          <w:p w:rsidR="00DA209E" w:rsidRPr="00DA209E" w:rsidRDefault="0091236C" w:rsidP="009246D3">
            <w:pPr>
              <w:pStyle w:val="PolicyHeaderFill"/>
            </w:pPr>
            <w:r>
              <w:t>MM/DD/YYYY</w:t>
            </w:r>
          </w:p>
        </w:tc>
        <w:tc>
          <w:tcPr>
            <w:tcW w:w="1202" w:type="pct"/>
            <w:tcMar>
              <w:top w:w="29" w:type="dxa"/>
              <w:left w:w="115" w:type="dxa"/>
              <w:bottom w:w="29" w:type="dxa"/>
              <w:right w:w="115" w:type="dxa"/>
            </w:tcMar>
            <w:vAlign w:val="center"/>
          </w:tcPr>
          <w:p w:rsidR="00DA209E" w:rsidRPr="0076502A" w:rsidRDefault="00DA209E" w:rsidP="00B53867">
            <w:pPr>
              <w:pStyle w:val="PolicyHeaderFill"/>
            </w:pPr>
          </w:p>
        </w:tc>
      </w:tr>
      <w:tr w:rsidR="00DA209E" w:rsidRPr="0076502A">
        <w:trPr>
          <w:trHeight w:val="288"/>
        </w:trPr>
        <w:tc>
          <w:tcPr>
            <w:tcW w:w="624" w:type="pct"/>
            <w:vAlign w:val="center"/>
          </w:tcPr>
          <w:p w:rsidR="00DA209E" w:rsidRPr="0076502A" w:rsidRDefault="00DA209E" w:rsidP="009246D3">
            <w:pPr>
              <w:pStyle w:val="FooterTableHeader"/>
              <w:rPr>
                <w:rFonts w:ascii="Times New Roman" w:hAnsi="Times New Roman"/>
                <w:sz w:val="22"/>
                <w:szCs w:val="22"/>
              </w:rPr>
            </w:pPr>
          </w:p>
        </w:tc>
        <w:tc>
          <w:tcPr>
            <w:tcW w:w="1540" w:type="pct"/>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3C1B8C" w:rsidRDefault="00DA209E" w:rsidP="003C1B8C">
            <w:pPr>
              <w:pStyle w:val="PolicyHeaderFill"/>
            </w:pPr>
          </w:p>
        </w:tc>
        <w:tc>
          <w:tcPr>
            <w:tcW w:w="1202"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r>
    </w:tbl>
    <w:p w:rsidR="002B50C6" w:rsidRDefault="002B50C6"/>
    <w:sectPr w:rsidR="002B50C6" w:rsidSect="00D13DA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1D0E" w:rsidRDefault="00661D0E">
      <w:r>
        <w:separator/>
      </w:r>
    </w:p>
    <w:p w:rsidR="00661D0E" w:rsidRDefault="00661D0E"/>
  </w:endnote>
  <w:endnote w:type="continuationSeparator" w:id="0">
    <w:p w:rsidR="00661D0E" w:rsidRDefault="00661D0E">
      <w:r>
        <w:continuationSeparator/>
      </w:r>
    </w:p>
    <w:p w:rsidR="00661D0E" w:rsidRDefault="00661D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B8C" w:rsidRPr="00575A04" w:rsidRDefault="005607EA" w:rsidP="00575A04">
    <w:pPr>
      <w:pStyle w:val="Footer"/>
    </w:pPr>
    <w:r>
      <w:t>Company X</w:t>
    </w:r>
    <w:r w:rsidR="000A57CA">
      <w:t xml:space="preserve"> Security Policy</w:t>
    </w:r>
    <w:r w:rsidR="003C1B8C" w:rsidRPr="00575A04">
      <w:tab/>
      <w:t>CONFIDENTIAL</w:t>
    </w:r>
    <w:r w:rsidR="003C1B8C" w:rsidRPr="00575A04">
      <w:tab/>
    </w:r>
    <w:r w:rsidR="003C1B8C">
      <w:t xml:space="preserve">  </w:t>
    </w:r>
    <w:r w:rsidR="003C1B8C" w:rsidRPr="00575A04">
      <w:t xml:space="preserve">Page </w:t>
    </w:r>
    <w:r w:rsidR="00AF600B">
      <w:fldChar w:fldCharType="begin"/>
    </w:r>
    <w:r w:rsidR="00AF600B">
      <w:instrText xml:space="preserve"> PAGE </w:instrText>
    </w:r>
    <w:r w:rsidR="00AF600B">
      <w:fldChar w:fldCharType="separate"/>
    </w:r>
    <w:r w:rsidR="00CD0CEA">
      <w:rPr>
        <w:noProof/>
      </w:rPr>
      <w:t>2</w:t>
    </w:r>
    <w:r w:rsidR="00AF600B">
      <w:rPr>
        <w:noProof/>
      </w:rPr>
      <w:fldChar w:fldCharType="end"/>
    </w:r>
  </w:p>
  <w:p w:rsidR="003C1B8C" w:rsidRDefault="003C1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1D0E" w:rsidRDefault="00661D0E">
      <w:r>
        <w:separator/>
      </w:r>
    </w:p>
    <w:p w:rsidR="00661D0E" w:rsidRDefault="00661D0E"/>
  </w:footnote>
  <w:footnote w:type="continuationSeparator" w:id="0">
    <w:p w:rsidR="00661D0E" w:rsidRDefault="00661D0E">
      <w:r>
        <w:continuationSeparator/>
      </w:r>
    </w:p>
    <w:p w:rsidR="00661D0E" w:rsidRDefault="00661D0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B327E"/>
    <w:multiLevelType w:val="hybridMultilevel"/>
    <w:tmpl w:val="97540918"/>
    <w:lvl w:ilvl="0" w:tplc="9A12125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6"/>
  </w:num>
  <w:num w:numId="4">
    <w:abstractNumId w:val="5"/>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13DA3"/>
    <w:rsid w:val="0000157F"/>
    <w:rsid w:val="00011129"/>
    <w:rsid w:val="000312F1"/>
    <w:rsid w:val="0003608C"/>
    <w:rsid w:val="00051520"/>
    <w:rsid w:val="000602A3"/>
    <w:rsid w:val="00074BA0"/>
    <w:rsid w:val="00087738"/>
    <w:rsid w:val="000A57CA"/>
    <w:rsid w:val="000A6314"/>
    <w:rsid w:val="000C06AA"/>
    <w:rsid w:val="001072C4"/>
    <w:rsid w:val="00107EC2"/>
    <w:rsid w:val="001116EE"/>
    <w:rsid w:val="00143AFF"/>
    <w:rsid w:val="0016248C"/>
    <w:rsid w:val="0016703E"/>
    <w:rsid w:val="001A1715"/>
    <w:rsid w:val="001B3246"/>
    <w:rsid w:val="001B556F"/>
    <w:rsid w:val="001B6243"/>
    <w:rsid w:val="001E29F7"/>
    <w:rsid w:val="001E5FFA"/>
    <w:rsid w:val="001F1048"/>
    <w:rsid w:val="001F713E"/>
    <w:rsid w:val="00222770"/>
    <w:rsid w:val="00230EB2"/>
    <w:rsid w:val="00244229"/>
    <w:rsid w:val="00255B11"/>
    <w:rsid w:val="0025728D"/>
    <w:rsid w:val="00291101"/>
    <w:rsid w:val="0029313E"/>
    <w:rsid w:val="002A1334"/>
    <w:rsid w:val="002A7256"/>
    <w:rsid w:val="002B50C6"/>
    <w:rsid w:val="00307C3B"/>
    <w:rsid w:val="0031451B"/>
    <w:rsid w:val="003162F7"/>
    <w:rsid w:val="003345C8"/>
    <w:rsid w:val="00345C8D"/>
    <w:rsid w:val="00364588"/>
    <w:rsid w:val="003650CE"/>
    <w:rsid w:val="00371E54"/>
    <w:rsid w:val="00385F82"/>
    <w:rsid w:val="00397D8F"/>
    <w:rsid w:val="003A01E1"/>
    <w:rsid w:val="003B089F"/>
    <w:rsid w:val="003C1B8C"/>
    <w:rsid w:val="003D14BE"/>
    <w:rsid w:val="003F09FA"/>
    <w:rsid w:val="00400FC8"/>
    <w:rsid w:val="004254C1"/>
    <w:rsid w:val="00451671"/>
    <w:rsid w:val="00465D05"/>
    <w:rsid w:val="00481967"/>
    <w:rsid w:val="00491984"/>
    <w:rsid w:val="004B632B"/>
    <w:rsid w:val="004D2353"/>
    <w:rsid w:val="004D37EB"/>
    <w:rsid w:val="004E3134"/>
    <w:rsid w:val="004F7469"/>
    <w:rsid w:val="0051524F"/>
    <w:rsid w:val="00555CFC"/>
    <w:rsid w:val="005607EA"/>
    <w:rsid w:val="00565990"/>
    <w:rsid w:val="00565B97"/>
    <w:rsid w:val="00575A04"/>
    <w:rsid w:val="005A4B62"/>
    <w:rsid w:val="005B23C5"/>
    <w:rsid w:val="005C2F4E"/>
    <w:rsid w:val="005D12B6"/>
    <w:rsid w:val="005D35BE"/>
    <w:rsid w:val="005D52B4"/>
    <w:rsid w:val="00603011"/>
    <w:rsid w:val="006173D9"/>
    <w:rsid w:val="006200A9"/>
    <w:rsid w:val="0062107D"/>
    <w:rsid w:val="006510F6"/>
    <w:rsid w:val="00653F92"/>
    <w:rsid w:val="00661D0E"/>
    <w:rsid w:val="00673932"/>
    <w:rsid w:val="00680DAB"/>
    <w:rsid w:val="00684D1E"/>
    <w:rsid w:val="0068601F"/>
    <w:rsid w:val="006C099D"/>
    <w:rsid w:val="00707FE3"/>
    <w:rsid w:val="007129D9"/>
    <w:rsid w:val="007133A4"/>
    <w:rsid w:val="007154EB"/>
    <w:rsid w:val="0077342D"/>
    <w:rsid w:val="00775AB4"/>
    <w:rsid w:val="007844D5"/>
    <w:rsid w:val="007D37A8"/>
    <w:rsid w:val="007F61A2"/>
    <w:rsid w:val="008063B7"/>
    <w:rsid w:val="00816505"/>
    <w:rsid w:val="00822B6C"/>
    <w:rsid w:val="00825FB4"/>
    <w:rsid w:val="008314F4"/>
    <w:rsid w:val="0085160B"/>
    <w:rsid w:val="00853487"/>
    <w:rsid w:val="0086465F"/>
    <w:rsid w:val="00897169"/>
    <w:rsid w:val="008A5787"/>
    <w:rsid w:val="008E325A"/>
    <w:rsid w:val="0091236C"/>
    <w:rsid w:val="00923C76"/>
    <w:rsid w:val="00924538"/>
    <w:rsid w:val="009246D3"/>
    <w:rsid w:val="0093202E"/>
    <w:rsid w:val="00944C37"/>
    <w:rsid w:val="00955117"/>
    <w:rsid w:val="00975083"/>
    <w:rsid w:val="009A4764"/>
    <w:rsid w:val="009A6CDE"/>
    <w:rsid w:val="009B7CE7"/>
    <w:rsid w:val="009D2C64"/>
    <w:rsid w:val="009F1103"/>
    <w:rsid w:val="00A32B57"/>
    <w:rsid w:val="00A33801"/>
    <w:rsid w:val="00A4341D"/>
    <w:rsid w:val="00A437C9"/>
    <w:rsid w:val="00A46D93"/>
    <w:rsid w:val="00A658CE"/>
    <w:rsid w:val="00A726A1"/>
    <w:rsid w:val="00AB5967"/>
    <w:rsid w:val="00AC0F82"/>
    <w:rsid w:val="00AD5BE0"/>
    <w:rsid w:val="00AF5689"/>
    <w:rsid w:val="00AF600B"/>
    <w:rsid w:val="00B36AF7"/>
    <w:rsid w:val="00B427DB"/>
    <w:rsid w:val="00B52B81"/>
    <w:rsid w:val="00B53867"/>
    <w:rsid w:val="00BA21BA"/>
    <w:rsid w:val="00BA7551"/>
    <w:rsid w:val="00BB7929"/>
    <w:rsid w:val="00BC6F34"/>
    <w:rsid w:val="00BE09CB"/>
    <w:rsid w:val="00BF1A5F"/>
    <w:rsid w:val="00C51809"/>
    <w:rsid w:val="00C51C73"/>
    <w:rsid w:val="00C6262C"/>
    <w:rsid w:val="00C64EAF"/>
    <w:rsid w:val="00C76D3B"/>
    <w:rsid w:val="00C80DA4"/>
    <w:rsid w:val="00CA01E1"/>
    <w:rsid w:val="00CD0CEA"/>
    <w:rsid w:val="00CD236D"/>
    <w:rsid w:val="00D13DA3"/>
    <w:rsid w:val="00D35111"/>
    <w:rsid w:val="00D83CD8"/>
    <w:rsid w:val="00D86AF2"/>
    <w:rsid w:val="00DA209E"/>
    <w:rsid w:val="00DC0318"/>
    <w:rsid w:val="00DC3FEF"/>
    <w:rsid w:val="00DF667F"/>
    <w:rsid w:val="00E067CE"/>
    <w:rsid w:val="00E1776B"/>
    <w:rsid w:val="00E364EF"/>
    <w:rsid w:val="00E408FB"/>
    <w:rsid w:val="00E474F5"/>
    <w:rsid w:val="00E77547"/>
    <w:rsid w:val="00E81331"/>
    <w:rsid w:val="00EA5856"/>
    <w:rsid w:val="00EC5DB4"/>
    <w:rsid w:val="00EE0FBE"/>
    <w:rsid w:val="00EE5F8F"/>
    <w:rsid w:val="00EF734B"/>
    <w:rsid w:val="00F07EAE"/>
    <w:rsid w:val="00F151DF"/>
    <w:rsid w:val="00F51BD1"/>
    <w:rsid w:val="00F906B3"/>
    <w:rsid w:val="00FD7438"/>
    <w:rsid w:val="00FE2000"/>
    <w:rsid w:val="00FE4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ersonName"/>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0EB28363"/>
  <w15:docId w15:val="{C5C937E6-8ECC-4F98-960A-AF6E2C595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PolicySubheader"/>
    <w:next w:val="Normal"/>
    <w:qFormat/>
    <w:rsid w:val="0029313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rsid w:val="00C6262C"/>
    <w:pPr>
      <w:widowControl w:val="0"/>
      <w:spacing w:before="240" w:after="12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77342D"/>
    <w:rPr>
      <w:i/>
      <w:color w:val="666699"/>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5B23C5"/>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TOCHeading">
    <w:name w:val="TOC Heading"/>
    <w:basedOn w:val="Heading1"/>
    <w:next w:val="Normal"/>
    <w:uiPriority w:val="39"/>
    <w:semiHidden/>
    <w:unhideWhenUsed/>
    <w:qFormat/>
    <w:rsid w:val="0085160B"/>
    <w:pPr>
      <w:keepLines/>
      <w:spacing w:before="480" w:after="0" w:line="276" w:lineRule="auto"/>
      <w:outlineLvl w:val="9"/>
    </w:pPr>
    <w:rPr>
      <w:rFonts w:ascii="Cambria" w:hAnsi="Cambria" w:cs="Times New Roman"/>
      <w:color w:val="365F91"/>
      <w:kern w:val="0"/>
      <w:sz w:val="28"/>
      <w:szCs w:val="28"/>
    </w:rPr>
  </w:style>
  <w:style w:type="paragraph" w:styleId="TOC3">
    <w:name w:val="toc 3"/>
    <w:basedOn w:val="Normal"/>
    <w:next w:val="Normal"/>
    <w:autoRedefine/>
    <w:uiPriority w:val="39"/>
    <w:rsid w:val="0085160B"/>
    <w:pPr>
      <w:ind w:left="440"/>
    </w:pPr>
  </w:style>
  <w:style w:type="paragraph" w:customStyle="1" w:styleId="PolicyBodyText">
    <w:name w:val="Policy Body Text"/>
    <w:basedOn w:val="Normal"/>
    <w:link w:val="PolicyBodyTextChar"/>
    <w:qFormat/>
    <w:rsid w:val="00C64EAF"/>
    <w:pPr>
      <w:spacing w:after="120"/>
      <w:ind w:left="360"/>
    </w:pPr>
  </w:style>
  <w:style w:type="character" w:customStyle="1" w:styleId="PolicyBodyTextChar">
    <w:name w:val="Policy Body Text Char"/>
    <w:link w:val="PolicyBodyText"/>
    <w:rsid w:val="00C64EAF"/>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863439701">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1605573279">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3AA48272C26D74E97313D7356788F07" ma:contentTypeVersion="18" ma:contentTypeDescription="Create a new document." ma:contentTypeScope="" ma:versionID="904046981606c3821224ab3f3f4a8131">
  <xsd:schema xmlns:xsd="http://www.w3.org/2001/XMLSchema" xmlns:xs="http://www.w3.org/2001/XMLSchema" xmlns:p="http://schemas.microsoft.com/office/2006/metadata/properties" xmlns:ns2="b4574519-0d7b-4de4-a7b2-1a056064d4a2" xmlns:ns3="8db0ab13-1cf6-46a7-8e4c-90ccc9f6d682" targetNamespace="http://schemas.microsoft.com/office/2006/metadata/properties" ma:root="true" ma:fieldsID="983443c3ffa7c049a70c8dd944d28861" ns2:_="" ns3:_="">
    <xsd:import namespace="b4574519-0d7b-4de4-a7b2-1a056064d4a2"/>
    <xsd:import namespace="8db0ab13-1cf6-46a7-8e4c-90ccc9f6d6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Note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74519-0d7b-4de4-a7b2-1a056064d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otes" ma:index="12" nillable="true" ma:displayName="Notes" ma:format="Dropdown" ma:internalName="Notes">
      <xsd:simpleType>
        <xsd:restriction base="dms:Text">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bc77436-f026-4174-97dc-5fd7a18b0982"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0ab13-1cf6-46a7-8e4c-90ccc9f6d682"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9ba026a-071e-4c13-9e14-37ec0d0dacc8}" ma:internalName="TaxCatchAll" ma:showField="CatchAllData" ma:web="8db0ab13-1cf6-46a7-8e4c-90ccc9f6d682">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b4574519-0d7b-4de4-a7b2-1a056064d4a2" xsi:nil="true"/>
    <TaxCatchAll xmlns="8db0ab13-1cf6-46a7-8e4c-90ccc9f6d682" xsi:nil="true"/>
    <lcf76f155ced4ddcb4097134ff3c332f xmlns="b4574519-0d7b-4de4-a7b2-1a056064d4a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F48908F-3A59-4DAA-9102-DF0B7499B941}">
  <ds:schemaRefs>
    <ds:schemaRef ds:uri="http://schemas.openxmlformats.org/officeDocument/2006/bibliography"/>
  </ds:schemaRefs>
</ds:datastoreItem>
</file>

<file path=customXml/itemProps2.xml><?xml version="1.0" encoding="utf-8"?>
<ds:datastoreItem xmlns:ds="http://schemas.openxmlformats.org/officeDocument/2006/customXml" ds:itemID="{38974B73-8BDA-45A3-99A7-D21A391D6395}"/>
</file>

<file path=customXml/itemProps3.xml><?xml version="1.0" encoding="utf-8"?>
<ds:datastoreItem xmlns:ds="http://schemas.openxmlformats.org/officeDocument/2006/customXml" ds:itemID="{F39FDE34-7ACD-46E5-BEA1-FBFF562A0850}"/>
</file>

<file path=customXml/itemProps4.xml><?xml version="1.0" encoding="utf-8"?>
<ds:datastoreItem xmlns:ds="http://schemas.openxmlformats.org/officeDocument/2006/customXml" ds:itemID="{3B7E4574-3327-4BA9-92E0-115D2F2B3035}"/>
</file>

<file path=docProps/app.xml><?xml version="1.0" encoding="utf-8"?>
<Properties xmlns="http://schemas.openxmlformats.org/officeDocument/2006/extended-properties" xmlns:vt="http://schemas.openxmlformats.org/officeDocument/2006/docPropsVTypes">
  <Template>Normal</Template>
  <TotalTime>1</TotalTime>
  <Pages>1</Pages>
  <Words>1756</Words>
  <Characters>10011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David Lineman</Company>
  <LinksUpToDate>false</LinksUpToDate>
  <CharactersWithSpaces>11744</CharactersWithSpaces>
  <SharedDoc>false</SharedDoc>
  <HLinks>
    <vt:vector size="108" baseType="variant">
      <vt:variant>
        <vt:i4>1900594</vt:i4>
      </vt:variant>
      <vt:variant>
        <vt:i4>104</vt:i4>
      </vt:variant>
      <vt:variant>
        <vt:i4>0</vt:i4>
      </vt:variant>
      <vt:variant>
        <vt:i4>5</vt:i4>
      </vt:variant>
      <vt:variant>
        <vt:lpwstr/>
      </vt:variant>
      <vt:variant>
        <vt:lpwstr>_Toc387233539</vt:lpwstr>
      </vt:variant>
      <vt:variant>
        <vt:i4>1900594</vt:i4>
      </vt:variant>
      <vt:variant>
        <vt:i4>98</vt:i4>
      </vt:variant>
      <vt:variant>
        <vt:i4>0</vt:i4>
      </vt:variant>
      <vt:variant>
        <vt:i4>5</vt:i4>
      </vt:variant>
      <vt:variant>
        <vt:lpwstr/>
      </vt:variant>
      <vt:variant>
        <vt:lpwstr>_Toc387233538</vt:lpwstr>
      </vt:variant>
      <vt:variant>
        <vt:i4>1900594</vt:i4>
      </vt:variant>
      <vt:variant>
        <vt:i4>92</vt:i4>
      </vt:variant>
      <vt:variant>
        <vt:i4>0</vt:i4>
      </vt:variant>
      <vt:variant>
        <vt:i4>5</vt:i4>
      </vt:variant>
      <vt:variant>
        <vt:lpwstr/>
      </vt:variant>
      <vt:variant>
        <vt:lpwstr>_Toc387233537</vt:lpwstr>
      </vt:variant>
      <vt:variant>
        <vt:i4>1900594</vt:i4>
      </vt:variant>
      <vt:variant>
        <vt:i4>86</vt:i4>
      </vt:variant>
      <vt:variant>
        <vt:i4>0</vt:i4>
      </vt:variant>
      <vt:variant>
        <vt:i4>5</vt:i4>
      </vt:variant>
      <vt:variant>
        <vt:lpwstr/>
      </vt:variant>
      <vt:variant>
        <vt:lpwstr>_Toc387233536</vt:lpwstr>
      </vt:variant>
      <vt:variant>
        <vt:i4>1900594</vt:i4>
      </vt:variant>
      <vt:variant>
        <vt:i4>80</vt:i4>
      </vt:variant>
      <vt:variant>
        <vt:i4>0</vt:i4>
      </vt:variant>
      <vt:variant>
        <vt:i4>5</vt:i4>
      </vt:variant>
      <vt:variant>
        <vt:lpwstr/>
      </vt:variant>
      <vt:variant>
        <vt:lpwstr>_Toc387233535</vt:lpwstr>
      </vt:variant>
      <vt:variant>
        <vt:i4>1900594</vt:i4>
      </vt:variant>
      <vt:variant>
        <vt:i4>74</vt:i4>
      </vt:variant>
      <vt:variant>
        <vt:i4>0</vt:i4>
      </vt:variant>
      <vt:variant>
        <vt:i4>5</vt:i4>
      </vt:variant>
      <vt:variant>
        <vt:lpwstr/>
      </vt:variant>
      <vt:variant>
        <vt:lpwstr>_Toc387233534</vt:lpwstr>
      </vt:variant>
      <vt:variant>
        <vt:i4>1900594</vt:i4>
      </vt:variant>
      <vt:variant>
        <vt:i4>68</vt:i4>
      </vt:variant>
      <vt:variant>
        <vt:i4>0</vt:i4>
      </vt:variant>
      <vt:variant>
        <vt:i4>5</vt:i4>
      </vt:variant>
      <vt:variant>
        <vt:lpwstr/>
      </vt:variant>
      <vt:variant>
        <vt:lpwstr>_Toc387233533</vt:lpwstr>
      </vt:variant>
      <vt:variant>
        <vt:i4>1900594</vt:i4>
      </vt:variant>
      <vt:variant>
        <vt:i4>62</vt:i4>
      </vt:variant>
      <vt:variant>
        <vt:i4>0</vt:i4>
      </vt:variant>
      <vt:variant>
        <vt:i4>5</vt:i4>
      </vt:variant>
      <vt:variant>
        <vt:lpwstr/>
      </vt:variant>
      <vt:variant>
        <vt:lpwstr>_Toc387233532</vt:lpwstr>
      </vt:variant>
      <vt:variant>
        <vt:i4>1900594</vt:i4>
      </vt:variant>
      <vt:variant>
        <vt:i4>56</vt:i4>
      </vt:variant>
      <vt:variant>
        <vt:i4>0</vt:i4>
      </vt:variant>
      <vt:variant>
        <vt:i4>5</vt:i4>
      </vt:variant>
      <vt:variant>
        <vt:lpwstr/>
      </vt:variant>
      <vt:variant>
        <vt:lpwstr>_Toc387233531</vt:lpwstr>
      </vt:variant>
      <vt:variant>
        <vt:i4>1900594</vt:i4>
      </vt:variant>
      <vt:variant>
        <vt:i4>50</vt:i4>
      </vt:variant>
      <vt:variant>
        <vt:i4>0</vt:i4>
      </vt:variant>
      <vt:variant>
        <vt:i4>5</vt:i4>
      </vt:variant>
      <vt:variant>
        <vt:lpwstr/>
      </vt:variant>
      <vt:variant>
        <vt:lpwstr>_Toc387233530</vt:lpwstr>
      </vt:variant>
      <vt:variant>
        <vt:i4>1835058</vt:i4>
      </vt:variant>
      <vt:variant>
        <vt:i4>44</vt:i4>
      </vt:variant>
      <vt:variant>
        <vt:i4>0</vt:i4>
      </vt:variant>
      <vt:variant>
        <vt:i4>5</vt:i4>
      </vt:variant>
      <vt:variant>
        <vt:lpwstr/>
      </vt:variant>
      <vt:variant>
        <vt:lpwstr>_Toc387233529</vt:lpwstr>
      </vt:variant>
      <vt:variant>
        <vt:i4>1835058</vt:i4>
      </vt:variant>
      <vt:variant>
        <vt:i4>38</vt:i4>
      </vt:variant>
      <vt:variant>
        <vt:i4>0</vt:i4>
      </vt:variant>
      <vt:variant>
        <vt:i4>5</vt:i4>
      </vt:variant>
      <vt:variant>
        <vt:lpwstr/>
      </vt:variant>
      <vt:variant>
        <vt:lpwstr>_Toc387233528</vt:lpwstr>
      </vt:variant>
      <vt:variant>
        <vt:i4>1835058</vt:i4>
      </vt:variant>
      <vt:variant>
        <vt:i4>32</vt:i4>
      </vt:variant>
      <vt:variant>
        <vt:i4>0</vt:i4>
      </vt:variant>
      <vt:variant>
        <vt:i4>5</vt:i4>
      </vt:variant>
      <vt:variant>
        <vt:lpwstr/>
      </vt:variant>
      <vt:variant>
        <vt:lpwstr>_Toc387233527</vt:lpwstr>
      </vt:variant>
      <vt:variant>
        <vt:i4>1835058</vt:i4>
      </vt:variant>
      <vt:variant>
        <vt:i4>26</vt:i4>
      </vt:variant>
      <vt:variant>
        <vt:i4>0</vt:i4>
      </vt:variant>
      <vt:variant>
        <vt:i4>5</vt:i4>
      </vt:variant>
      <vt:variant>
        <vt:lpwstr/>
      </vt:variant>
      <vt:variant>
        <vt:lpwstr>_Toc387233526</vt:lpwstr>
      </vt:variant>
      <vt:variant>
        <vt:i4>1835058</vt:i4>
      </vt:variant>
      <vt:variant>
        <vt:i4>20</vt:i4>
      </vt:variant>
      <vt:variant>
        <vt:i4>0</vt:i4>
      </vt:variant>
      <vt:variant>
        <vt:i4>5</vt:i4>
      </vt:variant>
      <vt:variant>
        <vt:lpwstr/>
      </vt:variant>
      <vt:variant>
        <vt:lpwstr>_Toc387233525</vt:lpwstr>
      </vt:variant>
      <vt:variant>
        <vt:i4>1835058</vt:i4>
      </vt:variant>
      <vt:variant>
        <vt:i4>14</vt:i4>
      </vt:variant>
      <vt:variant>
        <vt:i4>0</vt:i4>
      </vt:variant>
      <vt:variant>
        <vt:i4>5</vt:i4>
      </vt:variant>
      <vt:variant>
        <vt:lpwstr/>
      </vt:variant>
      <vt:variant>
        <vt:lpwstr>_Toc387233524</vt:lpwstr>
      </vt:variant>
      <vt:variant>
        <vt:i4>1835058</vt:i4>
      </vt:variant>
      <vt:variant>
        <vt:i4>8</vt:i4>
      </vt:variant>
      <vt:variant>
        <vt:i4>0</vt:i4>
      </vt:variant>
      <vt:variant>
        <vt:i4>5</vt:i4>
      </vt:variant>
      <vt:variant>
        <vt:lpwstr/>
      </vt:variant>
      <vt:variant>
        <vt:lpwstr>_Toc387233523</vt:lpwstr>
      </vt:variant>
      <vt:variant>
        <vt:i4>1835058</vt:i4>
      </vt:variant>
      <vt:variant>
        <vt:i4>2</vt:i4>
      </vt:variant>
      <vt:variant>
        <vt:i4>0</vt:i4>
      </vt:variant>
      <vt:variant>
        <vt:i4>5</vt:i4>
      </vt:variant>
      <vt:variant>
        <vt:lpwstr/>
      </vt:variant>
      <vt:variant>
        <vt:lpwstr>_Toc387233522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Shield</dc:creator>
  <cp:lastModifiedBy>Scott Parramore</cp:lastModifiedBy>
  <cp:revision>5</cp:revision>
  <dcterms:created xsi:type="dcterms:W3CDTF">2016-08-02T01:25:00Z</dcterms:created>
  <dcterms:modified xsi:type="dcterms:W3CDTF">2017-12-03T21:19:00Z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0x010100D3AA48272C26D74E97313D7356788F07</vt:lpwstr>
  </property>
</Properties>
</file>