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3"/>
        <w:gridCol w:w="1706"/>
        <w:gridCol w:w="1976"/>
        <w:gridCol w:w="825"/>
        <w:gridCol w:w="2706"/>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9A0295" w:rsidRDefault="009A0295" w:rsidP="002B50C6">
            <w:pPr>
              <w:pStyle w:val="policytitle"/>
            </w:pPr>
            <w:r w:rsidRPr="009A0295">
              <w:t>Employment Termination</w:t>
            </w:r>
            <w:r w:rsidR="00500EDD">
              <w:t xml:space="preserve"> Procedure</w:t>
            </w:r>
          </w:p>
        </w:tc>
      </w:tr>
      <w:tr w:rsidR="00D13DA3">
        <w:tc>
          <w:tcPr>
            <w:tcW w:w="600" w:type="pct"/>
            <w:tcBorders>
              <w:top w:val="nil"/>
            </w:tcBorders>
            <w:shd w:val="clear" w:color="auto" w:fill="auto"/>
            <w:tcMar>
              <w:top w:w="29" w:type="dxa"/>
              <w:left w:w="115" w:type="dxa"/>
              <w:bottom w:w="29" w:type="dxa"/>
              <w:right w:w="115" w:type="dxa"/>
            </w:tcMar>
          </w:tcPr>
          <w:p w:rsidR="00D13DA3" w:rsidRDefault="00D13DA3" w:rsidP="002B50C6">
            <w:pPr>
              <w:pStyle w:val="PolicyHeaderLabel"/>
            </w:pPr>
            <w:r>
              <w:t>Policy #</w:t>
            </w:r>
          </w:p>
        </w:tc>
        <w:tc>
          <w:tcPr>
            <w:tcW w:w="633" w:type="pct"/>
            <w:tcBorders>
              <w:top w:val="nil"/>
            </w:tcBorders>
            <w:shd w:val="clear" w:color="auto" w:fill="auto"/>
            <w:tcMar>
              <w:top w:w="29" w:type="dxa"/>
              <w:left w:w="115" w:type="dxa"/>
              <w:bottom w:w="29" w:type="dxa"/>
              <w:right w:w="115" w:type="dxa"/>
            </w:tcMar>
          </w:tcPr>
          <w:p w:rsidR="00D13DA3" w:rsidRDefault="00500EDD" w:rsidP="00623499">
            <w:pPr>
              <w:pStyle w:val="PolicyHeaderFill"/>
            </w:pPr>
            <w:r>
              <w:t>PRC-6-02</w:t>
            </w:r>
          </w:p>
        </w:tc>
        <w:tc>
          <w:tcPr>
            <w:tcW w:w="891" w:type="pct"/>
            <w:tcBorders>
              <w:top w:val="nil"/>
            </w:tcBorders>
            <w:shd w:val="clear" w:color="auto" w:fill="auto"/>
            <w:tcMar>
              <w:top w:w="29" w:type="dxa"/>
              <w:left w:w="115" w:type="dxa"/>
              <w:bottom w:w="29" w:type="dxa"/>
              <w:right w:w="115" w:type="dxa"/>
            </w:tcMar>
          </w:tcPr>
          <w:p w:rsidR="00D13DA3" w:rsidRDefault="00D13DA3"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D13DA3" w:rsidRDefault="00500EDD" w:rsidP="002B50C6">
            <w:pPr>
              <w:pStyle w:val="PolicyHeaderFill"/>
            </w:pPr>
            <w:r>
              <w:t>MM/DD/</w:t>
            </w:r>
            <w:r w:rsidR="00D13DA3">
              <w:t>YYYY</w:t>
            </w:r>
          </w:p>
        </w:tc>
        <w:tc>
          <w:tcPr>
            <w:tcW w:w="431" w:type="pct"/>
            <w:tcBorders>
              <w:top w:val="nil"/>
            </w:tcBorders>
            <w:shd w:val="clear" w:color="auto" w:fill="auto"/>
            <w:tcMar>
              <w:top w:w="29" w:type="dxa"/>
              <w:left w:w="115" w:type="dxa"/>
              <w:bottom w:w="29" w:type="dxa"/>
              <w:right w:w="115" w:type="dxa"/>
            </w:tcMar>
          </w:tcPr>
          <w:p w:rsidR="00D13DA3" w:rsidRDefault="00D13DA3" w:rsidP="002B50C6">
            <w:pPr>
              <w:pStyle w:val="PolicyHeaderLabel"/>
            </w:pPr>
            <w:r>
              <w:t>Email</w:t>
            </w:r>
          </w:p>
        </w:tc>
        <w:tc>
          <w:tcPr>
            <w:tcW w:w="1413" w:type="pct"/>
            <w:tcBorders>
              <w:top w:val="nil"/>
            </w:tcBorders>
            <w:shd w:val="clear" w:color="auto" w:fill="auto"/>
            <w:tcMar>
              <w:top w:w="29" w:type="dxa"/>
              <w:left w:w="115" w:type="dxa"/>
              <w:bottom w:w="29" w:type="dxa"/>
              <w:right w:w="115" w:type="dxa"/>
            </w:tcMar>
          </w:tcPr>
          <w:p w:rsidR="00D13DA3" w:rsidRDefault="00623499" w:rsidP="002B50C6">
            <w:pPr>
              <w:pStyle w:val="PolicyHeaderFill"/>
            </w:pPr>
            <w:r>
              <w:t>email</w:t>
            </w:r>
            <w:r w:rsidR="00D13DA3">
              <w:t>@</w:t>
            </w:r>
            <w:r>
              <w:t>companyx</w:t>
            </w:r>
            <w:r w:rsidR="00D13DA3">
              <w:t>.com</w:t>
            </w:r>
          </w:p>
        </w:tc>
      </w:tr>
      <w:tr w:rsidR="00D13DA3">
        <w:tc>
          <w:tcPr>
            <w:tcW w:w="600" w:type="pct"/>
            <w:shd w:val="clear" w:color="auto" w:fill="auto"/>
            <w:tcMar>
              <w:top w:w="29" w:type="dxa"/>
              <w:left w:w="115" w:type="dxa"/>
              <w:bottom w:w="29" w:type="dxa"/>
              <w:right w:w="115" w:type="dxa"/>
            </w:tcMar>
          </w:tcPr>
          <w:p w:rsidR="00D13DA3" w:rsidRDefault="00D13DA3" w:rsidP="002B50C6">
            <w:pPr>
              <w:pStyle w:val="PolicyHeaderLabel"/>
            </w:pPr>
            <w:r>
              <w:t>Version</w:t>
            </w:r>
          </w:p>
        </w:tc>
        <w:tc>
          <w:tcPr>
            <w:tcW w:w="633" w:type="pct"/>
            <w:shd w:val="clear" w:color="auto" w:fill="auto"/>
            <w:tcMar>
              <w:top w:w="29" w:type="dxa"/>
              <w:left w:w="115" w:type="dxa"/>
              <w:bottom w:w="29" w:type="dxa"/>
              <w:right w:w="115" w:type="dxa"/>
            </w:tcMar>
          </w:tcPr>
          <w:p w:rsidR="00D13DA3" w:rsidRDefault="00D13DA3" w:rsidP="002B50C6">
            <w:pPr>
              <w:pStyle w:val="PolicyHeaderFill"/>
            </w:pPr>
            <w:r>
              <w:t>1.0</w:t>
            </w:r>
          </w:p>
        </w:tc>
        <w:tc>
          <w:tcPr>
            <w:tcW w:w="891" w:type="pct"/>
            <w:shd w:val="clear" w:color="auto" w:fill="auto"/>
            <w:tcMar>
              <w:top w:w="29" w:type="dxa"/>
              <w:left w:w="115" w:type="dxa"/>
              <w:bottom w:w="29" w:type="dxa"/>
              <w:right w:w="115" w:type="dxa"/>
            </w:tcMar>
          </w:tcPr>
          <w:p w:rsidR="00D13DA3" w:rsidRDefault="00D13DA3"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D13DA3" w:rsidRDefault="00D13DA3" w:rsidP="002B50C6">
            <w:pPr>
              <w:pStyle w:val="PolicyHeaderFill"/>
            </w:pPr>
            <w:r>
              <w:t>First Last, Title</w:t>
            </w:r>
          </w:p>
        </w:tc>
        <w:tc>
          <w:tcPr>
            <w:tcW w:w="431" w:type="pct"/>
            <w:shd w:val="clear" w:color="auto" w:fill="auto"/>
            <w:tcMar>
              <w:top w:w="29" w:type="dxa"/>
              <w:left w:w="115" w:type="dxa"/>
              <w:bottom w:w="29" w:type="dxa"/>
              <w:right w:w="115" w:type="dxa"/>
            </w:tcMar>
          </w:tcPr>
          <w:p w:rsidR="00D13DA3" w:rsidRDefault="00D13DA3" w:rsidP="002B50C6">
            <w:pPr>
              <w:pStyle w:val="PolicyHeaderLabel"/>
            </w:pPr>
            <w:r>
              <w:t>Phone</w:t>
            </w:r>
          </w:p>
        </w:tc>
        <w:tc>
          <w:tcPr>
            <w:tcW w:w="1413" w:type="pct"/>
            <w:shd w:val="clear" w:color="auto" w:fill="auto"/>
            <w:tcMar>
              <w:top w:w="29" w:type="dxa"/>
              <w:left w:w="115" w:type="dxa"/>
              <w:bottom w:w="29" w:type="dxa"/>
              <w:right w:w="115" w:type="dxa"/>
            </w:tcMar>
          </w:tcPr>
          <w:p w:rsidR="00D13DA3" w:rsidRDefault="00D13DA3" w:rsidP="002B50C6">
            <w:pPr>
              <w:pStyle w:val="PolicyHeaderFill"/>
            </w:pPr>
            <w:r>
              <w:t>888.123.4567</w:t>
            </w:r>
          </w:p>
        </w:tc>
      </w:tr>
    </w:tbl>
    <w:p w:rsidR="008314F4" w:rsidRDefault="008314F4"/>
    <w:p w:rsidR="00D13DA3" w:rsidRDefault="00D13DA3" w:rsidP="00D13DA3">
      <w:pPr>
        <w:pStyle w:val="PolicyElementHeader"/>
        <w:rPr>
          <w:color w:val="00527A"/>
          <w:szCs w:val="28"/>
        </w:rPr>
      </w:pPr>
      <w:bookmarkStart w:id="0" w:name="_Toc178155357"/>
      <w:r>
        <w:rPr>
          <w:color w:val="00527A"/>
          <w:szCs w:val="28"/>
        </w:rPr>
        <w:t>Over</w:t>
      </w:r>
      <w:bookmarkStart w:id="1" w:name="_GoBack"/>
      <w:bookmarkEnd w:id="1"/>
      <w:r>
        <w:rPr>
          <w:color w:val="00527A"/>
          <w:szCs w:val="28"/>
        </w:rPr>
        <w:t>view</w:t>
      </w:r>
      <w:bookmarkEnd w:id="0"/>
    </w:p>
    <w:p w:rsidR="00D13DA3" w:rsidRDefault="001C4700">
      <w:r>
        <w:t>This document outlines specific information security procedures for various job roles relating to an employee termination.   This includes the departure of third-party contractors.</w:t>
      </w:r>
    </w:p>
    <w:p w:rsidR="00500EDD" w:rsidRDefault="00500EDD" w:rsidP="00500EDD">
      <w:pPr>
        <w:pStyle w:val="PolicyElementHeader"/>
        <w:rPr>
          <w:color w:val="00527A"/>
          <w:szCs w:val="28"/>
        </w:rPr>
      </w:pPr>
      <w:r>
        <w:rPr>
          <w:color w:val="00527A"/>
          <w:szCs w:val="28"/>
        </w:rPr>
        <w:t>Scope</w:t>
      </w:r>
    </w:p>
    <w:p w:rsidR="009A0295" w:rsidRDefault="00500EDD" w:rsidP="00500EDD">
      <w:r>
        <w:t>This procedure applies to all personnel with responsibility</w:t>
      </w:r>
    </w:p>
    <w:p w:rsidR="009A0295" w:rsidRDefault="009A0295" w:rsidP="009A0295">
      <w:pPr>
        <w:pStyle w:val="PolicyElementHeader"/>
      </w:pPr>
      <w:r>
        <w:t>Managers\ Directors</w:t>
      </w:r>
    </w:p>
    <w:p w:rsidR="009A0295" w:rsidRDefault="009A0295" w:rsidP="009A0295">
      <w:pPr>
        <w:widowControl w:val="0"/>
        <w:numPr>
          <w:ilvl w:val="0"/>
          <w:numId w:val="1"/>
        </w:numPr>
      </w:pPr>
      <w:r>
        <w:t>Notify Human Resources of the pending termination immediately, stating the nature of the termination and all pertinent circumstances surrounding it.</w:t>
      </w:r>
    </w:p>
    <w:p w:rsidR="009A0295" w:rsidRDefault="009A0295" w:rsidP="009A0295">
      <w:r>
        <w:t xml:space="preserve"> </w:t>
      </w:r>
    </w:p>
    <w:p w:rsidR="009A0295" w:rsidRDefault="009A0295" w:rsidP="009A0295">
      <w:pPr>
        <w:widowControl w:val="0"/>
        <w:numPr>
          <w:ilvl w:val="0"/>
          <w:numId w:val="1"/>
        </w:numPr>
      </w:pPr>
      <w:r>
        <w:t xml:space="preserve">Human Resources generates the Termination Procedures and Termination Notice form and emails it to the employee’s manager, Payroll, Benefits, Help Desk, Telecommunications, Security.  Human Resources will ask the employee to participate in an Exit Review either in person or </w:t>
      </w:r>
      <w:r w:rsidR="001068BC">
        <w:t xml:space="preserve">via </w:t>
      </w:r>
      <w:r>
        <w:t>a telephone interview.</w:t>
      </w:r>
    </w:p>
    <w:p w:rsidR="009A0295" w:rsidRDefault="009A0295" w:rsidP="009A0295"/>
    <w:p w:rsidR="009A0295" w:rsidRDefault="009A0295" w:rsidP="009A0295">
      <w:pPr>
        <w:widowControl w:val="0"/>
        <w:numPr>
          <w:ilvl w:val="0"/>
          <w:numId w:val="1"/>
        </w:numPr>
      </w:pPr>
      <w:r>
        <w:t>Conduct Exit Interview</w:t>
      </w:r>
    </w:p>
    <w:p w:rsidR="009A0295" w:rsidRPr="00D65F51" w:rsidRDefault="009A0295" w:rsidP="009A0295">
      <w:pPr>
        <w:ind w:left="360"/>
      </w:pPr>
      <w:r>
        <w:t xml:space="preserve">Human Resources </w:t>
      </w:r>
      <w:r w:rsidR="001068BC">
        <w:t>will conduct the Exit Review and document</w:t>
      </w:r>
      <w:r>
        <w:t xml:space="preserve"> the </w:t>
      </w:r>
      <w:proofErr w:type="gramStart"/>
      <w:r>
        <w:t>employees</w:t>
      </w:r>
      <w:proofErr w:type="gramEnd"/>
      <w:r>
        <w:t xml:space="preserve"> answers to the questions on th</w:t>
      </w:r>
      <w:r w:rsidRPr="00D65F51">
        <w:t>e Exit Review form. In addition to the standard questions, Human Resources will also provide information on the following:</w:t>
      </w:r>
    </w:p>
    <w:p w:rsidR="009A0295" w:rsidRPr="00D65F51" w:rsidRDefault="009A0295" w:rsidP="009A0295">
      <w:pPr>
        <w:widowControl w:val="0"/>
        <w:numPr>
          <w:ilvl w:val="1"/>
          <w:numId w:val="1"/>
        </w:numPr>
      </w:pPr>
      <w:r w:rsidRPr="00D65F51">
        <w:t>Distribution of 401 (K) Plan contributions</w:t>
      </w:r>
    </w:p>
    <w:p w:rsidR="009A0295" w:rsidRPr="00D65F51" w:rsidRDefault="009A0295" w:rsidP="009A0295">
      <w:pPr>
        <w:widowControl w:val="0"/>
        <w:numPr>
          <w:ilvl w:val="1"/>
          <w:numId w:val="1"/>
        </w:numPr>
      </w:pPr>
      <w:r w:rsidRPr="00D65F51">
        <w:t>Conversion of insurance plans</w:t>
      </w:r>
    </w:p>
    <w:p w:rsidR="009A0295" w:rsidRPr="00D65F51" w:rsidRDefault="009A0295" w:rsidP="009A0295">
      <w:pPr>
        <w:widowControl w:val="0"/>
        <w:numPr>
          <w:ilvl w:val="1"/>
          <w:numId w:val="1"/>
        </w:numPr>
      </w:pPr>
      <w:r w:rsidRPr="00D65F51">
        <w:t>Debts or obligations to the Company</w:t>
      </w:r>
    </w:p>
    <w:p w:rsidR="009A0295" w:rsidRPr="00D65F51" w:rsidRDefault="009A0295" w:rsidP="009A0295">
      <w:pPr>
        <w:widowControl w:val="0"/>
        <w:numPr>
          <w:ilvl w:val="1"/>
          <w:numId w:val="1"/>
        </w:numPr>
      </w:pPr>
      <w:r w:rsidRPr="00D65F51">
        <w:t>Final pay and eligibility for vacation pay</w:t>
      </w:r>
    </w:p>
    <w:p w:rsidR="009A0295" w:rsidRPr="00D65F51" w:rsidRDefault="009A0295" w:rsidP="009A0295">
      <w:pPr>
        <w:widowControl w:val="0"/>
        <w:numPr>
          <w:ilvl w:val="1"/>
          <w:numId w:val="1"/>
        </w:numPr>
      </w:pPr>
      <w:r w:rsidRPr="00D65F51">
        <w:t xml:space="preserve">Returning employee credit card(s) and other </w:t>
      </w:r>
      <w:r w:rsidR="001068BC">
        <w:t>Company X</w:t>
      </w:r>
      <w:r w:rsidRPr="00D65F51">
        <w:t xml:space="preserve"> property</w:t>
      </w:r>
    </w:p>
    <w:p w:rsidR="009A0295" w:rsidRPr="00D65F51" w:rsidRDefault="009A0295" w:rsidP="009A0295">
      <w:pPr>
        <w:widowControl w:val="0"/>
        <w:numPr>
          <w:ilvl w:val="1"/>
          <w:numId w:val="1"/>
        </w:numPr>
      </w:pPr>
      <w:r w:rsidRPr="00D65F51">
        <w:t xml:space="preserve">Returning uniforms, keys, badges, etc. provided by </w:t>
      </w:r>
      <w:r w:rsidR="001068BC">
        <w:t>Company X</w:t>
      </w:r>
    </w:p>
    <w:p w:rsidR="009A0295" w:rsidRPr="00D65F51" w:rsidRDefault="009A0295" w:rsidP="009A0295"/>
    <w:p w:rsidR="009A0295" w:rsidRPr="00D65F51" w:rsidRDefault="009A0295" w:rsidP="009A0295">
      <w:pPr>
        <w:widowControl w:val="0"/>
        <w:numPr>
          <w:ilvl w:val="0"/>
          <w:numId w:val="1"/>
        </w:numPr>
      </w:pPr>
      <w:r w:rsidRPr="00D65F51">
        <w:t>The Manager will collect the following from the employee (</w:t>
      </w:r>
      <w:r w:rsidRPr="00D65F51">
        <w:rPr>
          <w:u w:val="single"/>
        </w:rPr>
        <w:t>as applicable</w:t>
      </w:r>
      <w:r w:rsidRPr="00D65F51">
        <w:t>) and give to the Office Manager:</w:t>
      </w:r>
    </w:p>
    <w:p w:rsidR="009A0295" w:rsidRPr="00D65F51" w:rsidRDefault="001068BC" w:rsidP="009A0295">
      <w:pPr>
        <w:widowControl w:val="0"/>
        <w:numPr>
          <w:ilvl w:val="1"/>
          <w:numId w:val="1"/>
        </w:numPr>
      </w:pPr>
      <w:r>
        <w:t xml:space="preserve">Physical </w:t>
      </w:r>
      <w:r w:rsidR="009A0295" w:rsidRPr="00D65F51">
        <w:t>Access Badge</w:t>
      </w:r>
    </w:p>
    <w:p w:rsidR="009A0295" w:rsidRPr="00D65F51" w:rsidRDefault="009A0295" w:rsidP="009A0295">
      <w:pPr>
        <w:widowControl w:val="0"/>
        <w:numPr>
          <w:ilvl w:val="1"/>
          <w:numId w:val="1"/>
        </w:numPr>
      </w:pPr>
      <w:r w:rsidRPr="00D65F51">
        <w:t>Remote Access Card</w:t>
      </w:r>
    </w:p>
    <w:p w:rsidR="009A0295" w:rsidRPr="00D65F51" w:rsidRDefault="009A0295" w:rsidP="009A0295">
      <w:pPr>
        <w:widowControl w:val="0"/>
        <w:numPr>
          <w:ilvl w:val="1"/>
          <w:numId w:val="1"/>
        </w:numPr>
      </w:pPr>
      <w:r w:rsidRPr="00D65F51">
        <w:t>Cell Phone</w:t>
      </w:r>
      <w:r w:rsidR="001068BC">
        <w:t xml:space="preserve"> </w:t>
      </w:r>
    </w:p>
    <w:p w:rsidR="009A0295" w:rsidRPr="00D65F51" w:rsidRDefault="009A0295" w:rsidP="009A0295">
      <w:pPr>
        <w:widowControl w:val="0"/>
        <w:numPr>
          <w:ilvl w:val="1"/>
          <w:numId w:val="1"/>
        </w:numPr>
      </w:pPr>
      <w:r w:rsidRPr="00D65F51">
        <w:t xml:space="preserve">Laptop.  If the employee is a telecommuter, arrange to collect </w:t>
      </w:r>
      <w:r w:rsidRPr="00D65F51">
        <w:rPr>
          <w:b/>
          <w:bCs/>
        </w:rPr>
        <w:t>all</w:t>
      </w:r>
      <w:r w:rsidRPr="00D65F51">
        <w:t xml:space="preserve"> </w:t>
      </w:r>
      <w:r w:rsidR="001068BC">
        <w:t>Company X</w:t>
      </w:r>
      <w:r w:rsidRPr="00D65F51">
        <w:t xml:space="preserve"> computing equipment – this equipment </w:t>
      </w:r>
      <w:r w:rsidRPr="00D65F51">
        <w:rPr>
          <w:b/>
          <w:szCs w:val="22"/>
        </w:rPr>
        <w:t>must</w:t>
      </w:r>
      <w:r w:rsidRPr="00D65F51">
        <w:t xml:space="preserve"> be returned to IT</w:t>
      </w:r>
    </w:p>
    <w:p w:rsidR="009A0295" w:rsidRPr="00D65F51" w:rsidRDefault="009A0295" w:rsidP="009A0295">
      <w:pPr>
        <w:widowControl w:val="0"/>
        <w:numPr>
          <w:ilvl w:val="1"/>
          <w:numId w:val="1"/>
        </w:numPr>
      </w:pPr>
      <w:r w:rsidRPr="00D65F51">
        <w:t>Collect all keys: laptop\desktop security locks, filing cabinets, desks, doors, etc.</w:t>
      </w:r>
    </w:p>
    <w:p w:rsidR="009A0295" w:rsidRPr="00D65F51" w:rsidRDefault="009A0295" w:rsidP="009A0295">
      <w:pPr>
        <w:widowControl w:val="0"/>
        <w:numPr>
          <w:ilvl w:val="1"/>
          <w:numId w:val="1"/>
        </w:numPr>
      </w:pPr>
      <w:r w:rsidRPr="00D65F51">
        <w:t>Company credit card – this must be returned to Accounts Payable</w:t>
      </w:r>
    </w:p>
    <w:p w:rsidR="009A0295" w:rsidRPr="00D65F51" w:rsidRDefault="009A0295" w:rsidP="009A0295">
      <w:pPr>
        <w:widowControl w:val="0"/>
        <w:numPr>
          <w:ilvl w:val="1"/>
          <w:numId w:val="1"/>
        </w:numPr>
      </w:pPr>
      <w:smartTag w:uri="urn:schemas-microsoft-com:office:smarttags" w:element="place">
        <w:smartTag w:uri="urn:schemas-microsoft-com:office:smarttags" w:element="City">
          <w:r w:rsidRPr="00D65F51">
            <w:t>Telephone</w:t>
          </w:r>
        </w:smartTag>
        <w:r w:rsidRPr="00D65F51">
          <w:t xml:space="preserve"> </w:t>
        </w:r>
        <w:smartTag w:uri="urn:schemas-microsoft-com:office:smarttags" w:element="State">
          <w:r w:rsidRPr="00D65F51">
            <w:t>Cal</w:t>
          </w:r>
        </w:smartTag>
      </w:smartTag>
      <w:r w:rsidRPr="00D65F51">
        <w:t>ling Card – this must be returned to Corporate Communications</w:t>
      </w:r>
    </w:p>
    <w:p w:rsidR="009A0295" w:rsidRPr="00D65F51" w:rsidRDefault="009A0295" w:rsidP="009A0295">
      <w:pPr>
        <w:widowControl w:val="0"/>
        <w:numPr>
          <w:ilvl w:val="1"/>
          <w:numId w:val="1"/>
        </w:numPr>
      </w:pPr>
      <w:r w:rsidRPr="00D65F51">
        <w:t>Hardcopy of final pay period timecard</w:t>
      </w:r>
    </w:p>
    <w:p w:rsidR="009A0295" w:rsidRPr="00D65F51" w:rsidRDefault="009A0295" w:rsidP="009A0295">
      <w:pPr>
        <w:widowControl w:val="0"/>
        <w:numPr>
          <w:ilvl w:val="1"/>
          <w:numId w:val="1"/>
        </w:numPr>
      </w:pPr>
      <w:r w:rsidRPr="00D65F51">
        <w:t xml:space="preserve">Letter of resignation </w:t>
      </w:r>
    </w:p>
    <w:p w:rsidR="009A0295" w:rsidRPr="00D65F51" w:rsidRDefault="009A0295" w:rsidP="009A0295"/>
    <w:p w:rsidR="009A0295" w:rsidRPr="00D65F51" w:rsidRDefault="009A0295" w:rsidP="009A0295">
      <w:pPr>
        <w:widowControl w:val="0"/>
        <w:numPr>
          <w:ilvl w:val="0"/>
          <w:numId w:val="1"/>
        </w:numPr>
      </w:pPr>
      <w:r w:rsidRPr="00D65F51">
        <w:t xml:space="preserve">Verify home address for mailing the final pay check.  The final check is always mailed home </w:t>
      </w:r>
      <w:r w:rsidRPr="00D65F51">
        <w:lastRenderedPageBreak/>
        <w:t xml:space="preserve">--- it is never direct deposited.  It will also include accrued and unused vacation pay. </w:t>
      </w:r>
    </w:p>
    <w:p w:rsidR="009A0295" w:rsidRPr="00D65F51" w:rsidRDefault="009A0295" w:rsidP="009A0295">
      <w:pPr>
        <w:pStyle w:val="PolicyElementHeader"/>
        <w:tabs>
          <w:tab w:val="left" w:pos="6825"/>
        </w:tabs>
      </w:pPr>
      <w:r w:rsidRPr="00D65F51">
        <w:t>Human Resources</w:t>
      </w:r>
    </w:p>
    <w:p w:rsidR="009A0295" w:rsidRPr="00D65F51" w:rsidRDefault="009A0295" w:rsidP="009A0295">
      <w:pPr>
        <w:widowControl w:val="0"/>
        <w:numPr>
          <w:ilvl w:val="0"/>
          <w:numId w:val="2"/>
        </w:numPr>
      </w:pPr>
      <w:r w:rsidRPr="00D65F51">
        <w:t>Notify IT Enterprise Services and the Corporate Information Security Office (CISO) of the termination immediately.</w:t>
      </w:r>
    </w:p>
    <w:p w:rsidR="009A0295" w:rsidRPr="00D65F51" w:rsidRDefault="009A0295" w:rsidP="009A0295">
      <w:pPr>
        <w:pStyle w:val="Header"/>
        <w:tabs>
          <w:tab w:val="clear" w:pos="4320"/>
          <w:tab w:val="clear" w:pos="8640"/>
        </w:tabs>
      </w:pPr>
    </w:p>
    <w:p w:rsidR="009A0295" w:rsidRPr="00D65F51" w:rsidRDefault="009A0295" w:rsidP="009A0295">
      <w:pPr>
        <w:widowControl w:val="0"/>
        <w:numPr>
          <w:ilvl w:val="0"/>
          <w:numId w:val="2"/>
        </w:numPr>
      </w:pPr>
      <w:r w:rsidRPr="00D65F51">
        <w:t>Coordinate with the CISO any prearrangements that are necessitated by the nature and timing of the termination, especially if the employee is leaving under adversarial terms.</w:t>
      </w:r>
    </w:p>
    <w:p w:rsidR="009A0295" w:rsidRPr="00D65F51" w:rsidRDefault="009A0295" w:rsidP="009A0295">
      <w:pPr>
        <w:pStyle w:val="Header"/>
        <w:tabs>
          <w:tab w:val="clear" w:pos="4320"/>
          <w:tab w:val="clear" w:pos="8640"/>
        </w:tabs>
      </w:pPr>
    </w:p>
    <w:p w:rsidR="009A0295" w:rsidRPr="00D65F51" w:rsidRDefault="009A0295" w:rsidP="009A0295">
      <w:pPr>
        <w:widowControl w:val="0"/>
        <w:numPr>
          <w:ilvl w:val="0"/>
          <w:numId w:val="2"/>
        </w:numPr>
      </w:pPr>
      <w:r w:rsidRPr="00D65F51">
        <w:t xml:space="preserve">Confirm the removal of system access resulting from any </w:t>
      </w:r>
      <w:r w:rsidRPr="00D65F51">
        <w:rPr>
          <w:u w:val="single"/>
        </w:rPr>
        <w:t>involuntary</w:t>
      </w:r>
      <w:r w:rsidRPr="00D65F51">
        <w:t xml:space="preserve"> employment termination or from the voluntary employment termination of </w:t>
      </w:r>
      <w:r w:rsidRPr="00D65F51">
        <w:rPr>
          <w:u w:val="single"/>
        </w:rPr>
        <w:t>key personnel</w:t>
      </w:r>
      <w:r w:rsidRPr="00D65F51">
        <w:t>, such as systems administrators and company executives.</w:t>
      </w:r>
    </w:p>
    <w:p w:rsidR="009A0295" w:rsidRPr="00D65F51" w:rsidRDefault="009A0295" w:rsidP="009A0295">
      <w:pPr>
        <w:pStyle w:val="PolicyElementHeader"/>
      </w:pPr>
      <w:r w:rsidRPr="00D65F51">
        <w:t>Corporate Information Security Office (CISO)</w:t>
      </w:r>
    </w:p>
    <w:p w:rsidR="009A0295" w:rsidRPr="00D65F51" w:rsidRDefault="009A0295" w:rsidP="009A0295">
      <w:pPr>
        <w:widowControl w:val="0"/>
        <w:numPr>
          <w:ilvl w:val="0"/>
          <w:numId w:val="3"/>
        </w:numPr>
      </w:pPr>
      <w:r w:rsidRPr="00D65F51">
        <w:t>Make any prearrangements necessary based on the nature and timing of the termination.</w:t>
      </w:r>
    </w:p>
    <w:p w:rsidR="009A0295" w:rsidRPr="00D65F51" w:rsidRDefault="009A0295" w:rsidP="009A0295">
      <w:pPr>
        <w:pStyle w:val="Header"/>
        <w:tabs>
          <w:tab w:val="clear" w:pos="4320"/>
          <w:tab w:val="clear" w:pos="8640"/>
        </w:tabs>
      </w:pPr>
    </w:p>
    <w:p w:rsidR="009A0295" w:rsidRPr="00D65F51" w:rsidRDefault="009A0295" w:rsidP="009A0295">
      <w:pPr>
        <w:widowControl w:val="0"/>
        <w:numPr>
          <w:ilvl w:val="0"/>
          <w:numId w:val="3"/>
        </w:numPr>
      </w:pPr>
      <w:r w:rsidRPr="00D65F51">
        <w:t>Coordinate with IT Enterprise Services the reassignment, suspension, or removal of user access capabilities and privileges:</w:t>
      </w:r>
    </w:p>
    <w:p w:rsidR="009A0295" w:rsidRPr="00D65F51" w:rsidRDefault="009A0295" w:rsidP="009A0295">
      <w:pPr>
        <w:widowControl w:val="0"/>
        <w:numPr>
          <w:ilvl w:val="1"/>
          <w:numId w:val="3"/>
        </w:numPr>
      </w:pPr>
      <w:r w:rsidRPr="00D65F51">
        <w:t>Reset voice mail password</w:t>
      </w:r>
    </w:p>
    <w:p w:rsidR="009A0295" w:rsidRPr="00D65F51" w:rsidRDefault="009A0295" w:rsidP="009A0295">
      <w:pPr>
        <w:widowControl w:val="0"/>
        <w:numPr>
          <w:ilvl w:val="1"/>
          <w:numId w:val="3"/>
        </w:numPr>
      </w:pPr>
      <w:r w:rsidRPr="00D65F51">
        <w:t>Suspend or remove email account</w:t>
      </w:r>
    </w:p>
    <w:p w:rsidR="009A0295" w:rsidRPr="00D65F51" w:rsidRDefault="009A0295" w:rsidP="009A0295">
      <w:pPr>
        <w:widowControl w:val="0"/>
        <w:numPr>
          <w:ilvl w:val="1"/>
          <w:numId w:val="3"/>
        </w:numPr>
      </w:pPr>
      <w:r w:rsidRPr="00D65F51">
        <w:t>Suspend or remove LAN accounts</w:t>
      </w:r>
    </w:p>
    <w:p w:rsidR="009A0295" w:rsidRDefault="009A0295" w:rsidP="009A0295">
      <w:pPr>
        <w:widowControl w:val="0"/>
        <w:numPr>
          <w:ilvl w:val="1"/>
          <w:numId w:val="3"/>
        </w:numPr>
      </w:pPr>
      <w:r w:rsidRPr="00D65F51">
        <w:t>Suspend or remove other server accounts</w:t>
      </w:r>
    </w:p>
    <w:p w:rsidR="0077690D" w:rsidRPr="00D65F51" w:rsidRDefault="0077690D" w:rsidP="0077690D">
      <w:pPr>
        <w:widowControl w:val="0"/>
        <w:numPr>
          <w:ilvl w:val="1"/>
          <w:numId w:val="3"/>
        </w:numPr>
      </w:pPr>
      <w:r>
        <w:t>Suspend or remove third-party (cloud) accounts</w:t>
      </w:r>
    </w:p>
    <w:p w:rsidR="009A0295" w:rsidRPr="00D65F51" w:rsidRDefault="009A0295" w:rsidP="009A0295">
      <w:pPr>
        <w:pStyle w:val="PolicyElementHeader"/>
      </w:pPr>
      <w:r w:rsidRPr="00D65F51">
        <w:t>Office Manager</w:t>
      </w:r>
    </w:p>
    <w:p w:rsidR="009A0295" w:rsidRPr="00D65F51" w:rsidRDefault="009A0295" w:rsidP="009A0295">
      <w:pPr>
        <w:widowControl w:val="0"/>
        <w:numPr>
          <w:ilvl w:val="0"/>
          <w:numId w:val="4"/>
        </w:numPr>
      </w:pPr>
      <w:r w:rsidRPr="00D65F51">
        <w:t>Process deactivation of employee in phone system, and project and accounting applications.</w:t>
      </w:r>
    </w:p>
    <w:p w:rsidR="009A0295" w:rsidRPr="00D65F51" w:rsidRDefault="009A0295" w:rsidP="009A0295">
      <w:pPr>
        <w:widowControl w:val="0"/>
        <w:numPr>
          <w:ilvl w:val="0"/>
          <w:numId w:val="4"/>
        </w:numPr>
      </w:pPr>
      <w:r w:rsidRPr="00D65F51">
        <w:t>Contact any vendors (and other third parties) with whom the employee was active to confirm that they reassign, suspend, or remove user access capabilities and privileges (as above.)</w:t>
      </w:r>
    </w:p>
    <w:p w:rsidR="009A0295" w:rsidRPr="00D65F51" w:rsidRDefault="009A0295" w:rsidP="009A0295">
      <w:pPr>
        <w:widowControl w:val="0"/>
        <w:numPr>
          <w:ilvl w:val="0"/>
          <w:numId w:val="4"/>
        </w:numPr>
      </w:pPr>
      <w:r w:rsidRPr="00D65F51">
        <w:t>Update organizational chart, vacancy listing, etc.</w:t>
      </w:r>
    </w:p>
    <w:p w:rsidR="009A0295" w:rsidRPr="00777E3C" w:rsidRDefault="009A0295" w:rsidP="009A0295">
      <w:pPr>
        <w:jc w:val="both"/>
      </w:pPr>
    </w:p>
    <w:p w:rsidR="00D13DA3" w:rsidRDefault="00D13DA3" w:rsidP="00D13DA3"/>
    <w:p w:rsidR="00D13DA3" w:rsidRDefault="00D13DA3" w:rsidP="00D13DA3">
      <w:pPr>
        <w:pStyle w:val="PolicyElementHeader"/>
        <w:rPr>
          <w:color w:val="00527A"/>
          <w:szCs w:val="28"/>
        </w:rPr>
      </w:pPr>
      <w:bookmarkStart w:id="2" w:name="_Toc178155365"/>
      <w:r>
        <w:rPr>
          <w:color w:val="00527A"/>
          <w:szCs w:val="28"/>
        </w:rPr>
        <w:t>Related Documents</w:t>
      </w:r>
      <w:bookmarkEnd w:id="2"/>
    </w:p>
    <w:p w:rsidR="00D13DA3" w:rsidRDefault="0001460E" w:rsidP="00D13DA3">
      <w:r>
        <w:t>Personnel Security Management Policy</w:t>
      </w:r>
    </w:p>
    <w:p w:rsidR="00D13DA3" w:rsidRDefault="00D13DA3"/>
    <w:p w:rsidR="00D13DA3" w:rsidRPr="00EF734B" w:rsidRDefault="00D13DA3" w:rsidP="00EF734B">
      <w:pPr>
        <w:pStyle w:val="PolicyElementHeader"/>
        <w:rPr>
          <w:bCs/>
          <w:color w:val="00527A"/>
        </w:rPr>
      </w:pPr>
      <w:r w:rsidRPr="00EF734B">
        <w:rPr>
          <w:bCs/>
          <w:color w:val="00527A"/>
        </w:rPr>
        <w:t>Approval and Ownership</w:t>
      </w:r>
    </w:p>
    <w:p w:rsidR="002B50C6" w:rsidRDefault="002B50C6" w:rsidP="00D13DA3">
      <w:pPr>
        <w:pStyle w:val="PolicySubhea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405"/>
        </w:trPr>
        <w:tc>
          <w:tcPr>
            <w:tcW w:w="2520" w:type="dxa"/>
            <w:tcMar>
              <w:top w:w="29" w:type="dxa"/>
              <w:left w:w="115" w:type="dxa"/>
              <w:bottom w:w="29" w:type="dxa"/>
              <w:right w:w="115" w:type="dxa"/>
            </w:tcMar>
          </w:tcPr>
          <w:p w:rsidR="00D13DA3" w:rsidRDefault="00D13DA3" w:rsidP="002B50C6">
            <w:pPr>
              <w:pStyle w:val="FooterTableHeader"/>
            </w:pPr>
            <w:r>
              <w:t>Created By</w:t>
            </w:r>
          </w:p>
        </w:tc>
        <w:tc>
          <w:tcPr>
            <w:tcW w:w="2520" w:type="dxa"/>
            <w:tcMar>
              <w:top w:w="29" w:type="dxa"/>
              <w:left w:w="115" w:type="dxa"/>
              <w:bottom w:w="29" w:type="dxa"/>
              <w:right w:w="115" w:type="dxa"/>
            </w:tcMar>
          </w:tcPr>
          <w:p w:rsidR="00D13DA3" w:rsidRDefault="00D13DA3" w:rsidP="002B50C6">
            <w:pPr>
              <w:pStyle w:val="FooterTableHeader"/>
            </w:pPr>
            <w:r>
              <w:t>Title</w:t>
            </w:r>
          </w:p>
        </w:tc>
        <w:tc>
          <w:tcPr>
            <w:tcW w:w="1980" w:type="dxa"/>
            <w:tcMar>
              <w:top w:w="29" w:type="dxa"/>
              <w:left w:w="115" w:type="dxa"/>
              <w:bottom w:w="29" w:type="dxa"/>
              <w:right w:w="115" w:type="dxa"/>
            </w:tcMar>
          </w:tcPr>
          <w:p w:rsidR="00D13DA3" w:rsidRDefault="00D13DA3" w:rsidP="002B50C6">
            <w:pPr>
              <w:pStyle w:val="FooterTableHeader"/>
            </w:pPr>
            <w:r>
              <w:t>Date</w:t>
            </w:r>
          </w:p>
        </w:tc>
        <w:tc>
          <w:tcPr>
            <w:tcW w:w="2340" w:type="dxa"/>
            <w:tcMar>
              <w:top w:w="29" w:type="dxa"/>
              <w:left w:w="115" w:type="dxa"/>
              <w:bottom w:w="29" w:type="dxa"/>
              <w:right w:w="115" w:type="dxa"/>
            </w:tcMar>
          </w:tcPr>
          <w:p w:rsidR="00D13DA3" w:rsidRDefault="00D13DA3" w:rsidP="002B50C6">
            <w:pPr>
              <w:pStyle w:val="FooterTableHeader"/>
            </w:pPr>
            <w:r>
              <w:t>Signature</w:t>
            </w:r>
          </w:p>
        </w:tc>
      </w:tr>
      <w:tr w:rsidR="002B50C6">
        <w:trPr>
          <w:trHeight w:val="339"/>
        </w:trPr>
        <w:tc>
          <w:tcPr>
            <w:tcW w:w="2520" w:type="dxa"/>
            <w:tcMar>
              <w:top w:w="29" w:type="dxa"/>
              <w:left w:w="115" w:type="dxa"/>
              <w:bottom w:w="29" w:type="dxa"/>
              <w:right w:w="115" w:type="dxa"/>
            </w:tcMar>
          </w:tcPr>
          <w:p w:rsidR="002B50C6" w:rsidRPr="0043775C" w:rsidRDefault="002B50C6" w:rsidP="002B50C6">
            <w:pPr>
              <w:pStyle w:val="PolicyHeaderFill"/>
            </w:pPr>
            <w:r w:rsidRPr="0043775C">
              <w:t>First M. Last Name</w:t>
            </w:r>
          </w:p>
        </w:tc>
        <w:tc>
          <w:tcPr>
            <w:tcW w:w="2520" w:type="dxa"/>
            <w:tcMar>
              <w:top w:w="29" w:type="dxa"/>
              <w:left w:w="115" w:type="dxa"/>
              <w:bottom w:w="29" w:type="dxa"/>
              <w:right w:w="115" w:type="dxa"/>
            </w:tcMar>
          </w:tcPr>
          <w:p w:rsidR="002B50C6" w:rsidRPr="0043775C" w:rsidRDefault="002B50C6" w:rsidP="002B50C6">
            <w:pPr>
              <w:pStyle w:val="PolicyHeaderFill"/>
            </w:pPr>
            <w:r w:rsidRPr="0043775C">
              <w:t>Information Security</w:t>
            </w:r>
          </w:p>
        </w:tc>
        <w:tc>
          <w:tcPr>
            <w:tcW w:w="1980" w:type="dxa"/>
            <w:tcMar>
              <w:top w:w="29" w:type="dxa"/>
              <w:left w:w="115" w:type="dxa"/>
              <w:bottom w:w="29" w:type="dxa"/>
              <w:right w:w="115" w:type="dxa"/>
            </w:tcMar>
          </w:tcPr>
          <w:p w:rsidR="002B50C6" w:rsidRPr="0043775C" w:rsidRDefault="002B50C6" w:rsidP="002B50C6">
            <w:pPr>
              <w:pStyle w:val="PolicyHeaderFill"/>
            </w:pPr>
            <w:r>
              <w:t>MM, DD, YYYY</w:t>
            </w:r>
          </w:p>
        </w:tc>
        <w:tc>
          <w:tcPr>
            <w:tcW w:w="2340" w:type="dxa"/>
            <w:tcMar>
              <w:top w:w="29" w:type="dxa"/>
              <w:left w:w="115" w:type="dxa"/>
              <w:bottom w:w="29" w:type="dxa"/>
              <w:right w:w="115" w:type="dxa"/>
            </w:tcMar>
          </w:tcPr>
          <w:p w:rsidR="002B50C6" w:rsidRDefault="002B50C6"/>
        </w:tc>
      </w:tr>
      <w:tr w:rsidR="002B50C6">
        <w:trPr>
          <w:trHeight w:val="294"/>
        </w:trPr>
        <w:tc>
          <w:tcPr>
            <w:tcW w:w="2520" w:type="dxa"/>
            <w:tcMar>
              <w:top w:w="29" w:type="dxa"/>
              <w:left w:w="115" w:type="dxa"/>
              <w:bottom w:w="29" w:type="dxa"/>
              <w:right w:w="115" w:type="dxa"/>
            </w:tcMar>
          </w:tcPr>
          <w:p w:rsidR="002B50C6" w:rsidRDefault="002B50C6" w:rsidP="002B50C6">
            <w:pPr>
              <w:pStyle w:val="FooterTableHeader"/>
            </w:pPr>
            <w:r>
              <w:t>Approved By</w:t>
            </w:r>
          </w:p>
        </w:tc>
        <w:tc>
          <w:tcPr>
            <w:tcW w:w="2520" w:type="dxa"/>
            <w:tcMar>
              <w:top w:w="29" w:type="dxa"/>
              <w:left w:w="115" w:type="dxa"/>
              <w:bottom w:w="29" w:type="dxa"/>
              <w:right w:w="115" w:type="dxa"/>
            </w:tcMar>
          </w:tcPr>
          <w:p w:rsidR="002B50C6" w:rsidRDefault="002B50C6" w:rsidP="002B50C6">
            <w:pPr>
              <w:pStyle w:val="FooterTableHeader"/>
            </w:pPr>
            <w:r>
              <w:t>Title</w:t>
            </w:r>
          </w:p>
        </w:tc>
        <w:tc>
          <w:tcPr>
            <w:tcW w:w="1980" w:type="dxa"/>
            <w:tcMar>
              <w:top w:w="29" w:type="dxa"/>
              <w:left w:w="115" w:type="dxa"/>
              <w:bottom w:w="29" w:type="dxa"/>
              <w:right w:w="115" w:type="dxa"/>
            </w:tcMar>
          </w:tcPr>
          <w:p w:rsidR="002B50C6" w:rsidRDefault="002B50C6" w:rsidP="002B50C6">
            <w:pPr>
              <w:pStyle w:val="FooterTableHeader"/>
            </w:pPr>
            <w:r>
              <w:t>Date</w:t>
            </w:r>
          </w:p>
        </w:tc>
        <w:tc>
          <w:tcPr>
            <w:tcW w:w="2340" w:type="dxa"/>
            <w:tcMar>
              <w:top w:w="29" w:type="dxa"/>
              <w:left w:w="115" w:type="dxa"/>
              <w:bottom w:w="29" w:type="dxa"/>
              <w:right w:w="115" w:type="dxa"/>
            </w:tcMar>
          </w:tcPr>
          <w:p w:rsidR="002B50C6" w:rsidRDefault="002B50C6" w:rsidP="002B50C6">
            <w:pPr>
              <w:pStyle w:val="FooterTableHeader"/>
            </w:pPr>
            <w:r>
              <w:t>Signature</w:t>
            </w:r>
          </w:p>
        </w:tc>
      </w:tr>
      <w:tr w:rsidR="002B50C6">
        <w:trPr>
          <w:trHeight w:val="474"/>
        </w:trPr>
        <w:tc>
          <w:tcPr>
            <w:tcW w:w="2520" w:type="dxa"/>
            <w:tcMar>
              <w:top w:w="29" w:type="dxa"/>
              <w:left w:w="115" w:type="dxa"/>
              <w:bottom w:w="29" w:type="dxa"/>
              <w:right w:w="115" w:type="dxa"/>
            </w:tcMar>
          </w:tcPr>
          <w:p w:rsidR="002B50C6" w:rsidRPr="0043775C" w:rsidRDefault="002B50C6" w:rsidP="002B50C6">
            <w:pPr>
              <w:pStyle w:val="PolicyHeaderFill"/>
            </w:pPr>
            <w:r w:rsidRPr="0043775C">
              <w:t>First M. Last Name</w:t>
            </w:r>
          </w:p>
        </w:tc>
        <w:tc>
          <w:tcPr>
            <w:tcW w:w="2520" w:type="dxa"/>
            <w:tcMar>
              <w:top w:w="29" w:type="dxa"/>
              <w:left w:w="115" w:type="dxa"/>
              <w:bottom w:w="29" w:type="dxa"/>
              <w:right w:w="115" w:type="dxa"/>
            </w:tcMar>
          </w:tcPr>
          <w:p w:rsidR="002B50C6" w:rsidRPr="0043775C" w:rsidRDefault="002B50C6" w:rsidP="002B50C6">
            <w:pPr>
              <w:pStyle w:val="PolicyHeaderFill"/>
            </w:pPr>
            <w:r w:rsidRPr="0043775C">
              <w:t>President</w:t>
            </w:r>
          </w:p>
        </w:tc>
        <w:tc>
          <w:tcPr>
            <w:tcW w:w="1980" w:type="dxa"/>
            <w:tcMar>
              <w:top w:w="29" w:type="dxa"/>
              <w:left w:w="115" w:type="dxa"/>
              <w:bottom w:w="29" w:type="dxa"/>
              <w:right w:w="115" w:type="dxa"/>
            </w:tcMar>
          </w:tcPr>
          <w:p w:rsidR="002B50C6" w:rsidRPr="0043775C" w:rsidRDefault="002B50C6" w:rsidP="002B50C6">
            <w:pPr>
              <w:pStyle w:val="PolicyHeaderFill"/>
            </w:pPr>
            <w:r>
              <w:t>MM, DD, YYYY</w:t>
            </w:r>
          </w:p>
        </w:tc>
        <w:tc>
          <w:tcPr>
            <w:tcW w:w="2340" w:type="dxa"/>
            <w:tcMar>
              <w:top w:w="29" w:type="dxa"/>
              <w:left w:w="115" w:type="dxa"/>
              <w:bottom w:w="29" w:type="dxa"/>
              <w:right w:w="115" w:type="dxa"/>
            </w:tcMar>
          </w:tcPr>
          <w:p w:rsidR="002B50C6" w:rsidRDefault="002B50C6"/>
        </w:tc>
      </w:tr>
    </w:tbl>
    <w:p w:rsidR="00D13DA3" w:rsidRDefault="00D13DA3"/>
    <w:p w:rsidR="002B50C6" w:rsidRPr="00EF734B" w:rsidRDefault="002B50C6" w:rsidP="00EF734B">
      <w:pPr>
        <w:pStyle w:val="PolicyElementHeader"/>
        <w:rPr>
          <w:bCs/>
          <w:color w:val="00527A"/>
        </w:rPr>
      </w:pPr>
      <w:r w:rsidRPr="00EF734B">
        <w:rPr>
          <w:bCs/>
          <w:color w:val="00527A"/>
        </w:rPr>
        <w:lastRenderedPageBreak/>
        <w:t>Revision History</w:t>
      </w:r>
    </w:p>
    <w:p w:rsidR="002B50C6" w:rsidRDefault="002B50C6" w:rsidP="002B50C6">
      <w:pPr>
        <w:pStyle w:val="PolicySubhead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2160"/>
        <w:gridCol w:w="2160"/>
        <w:gridCol w:w="3593"/>
      </w:tblGrid>
      <w:tr w:rsidR="002B50C6">
        <w:trPr>
          <w:trHeight w:val="405"/>
        </w:trPr>
        <w:tc>
          <w:tcPr>
            <w:tcW w:w="1447" w:type="dxa"/>
            <w:tcMar>
              <w:top w:w="29" w:type="dxa"/>
              <w:left w:w="115" w:type="dxa"/>
              <w:bottom w:w="29" w:type="dxa"/>
              <w:right w:w="115" w:type="dxa"/>
            </w:tcMar>
          </w:tcPr>
          <w:p w:rsidR="002B50C6" w:rsidRDefault="002B50C6" w:rsidP="002B50C6">
            <w:pPr>
              <w:pStyle w:val="FooterTableHeader"/>
            </w:pPr>
            <w:r>
              <w:t>Version</w:t>
            </w:r>
          </w:p>
        </w:tc>
        <w:tc>
          <w:tcPr>
            <w:tcW w:w="2160" w:type="dxa"/>
            <w:tcMar>
              <w:top w:w="29" w:type="dxa"/>
              <w:left w:w="115" w:type="dxa"/>
              <w:bottom w:w="29" w:type="dxa"/>
              <w:right w:w="115" w:type="dxa"/>
            </w:tcMar>
          </w:tcPr>
          <w:p w:rsidR="002B50C6" w:rsidRDefault="002B50C6" w:rsidP="002B50C6">
            <w:pPr>
              <w:pStyle w:val="FooterTableHeader"/>
            </w:pPr>
            <w:r>
              <w:t>Revision Date</w:t>
            </w:r>
          </w:p>
        </w:tc>
        <w:tc>
          <w:tcPr>
            <w:tcW w:w="2160" w:type="dxa"/>
            <w:tcMar>
              <w:top w:w="29" w:type="dxa"/>
              <w:left w:w="115" w:type="dxa"/>
              <w:bottom w:w="29" w:type="dxa"/>
              <w:right w:w="115" w:type="dxa"/>
            </w:tcMar>
          </w:tcPr>
          <w:p w:rsidR="002B50C6" w:rsidRDefault="002B50C6" w:rsidP="002B50C6">
            <w:pPr>
              <w:pStyle w:val="FooterTableHeader"/>
            </w:pPr>
            <w:r>
              <w:t>Review Date</w:t>
            </w:r>
          </w:p>
        </w:tc>
        <w:tc>
          <w:tcPr>
            <w:tcW w:w="3593" w:type="dxa"/>
            <w:tcMar>
              <w:top w:w="29" w:type="dxa"/>
              <w:left w:w="115" w:type="dxa"/>
              <w:bottom w:w="29" w:type="dxa"/>
              <w:right w:w="115" w:type="dxa"/>
            </w:tcMar>
          </w:tcPr>
          <w:p w:rsidR="002B50C6" w:rsidRDefault="002B50C6" w:rsidP="002B50C6">
            <w:pPr>
              <w:pStyle w:val="FooterTableHeader"/>
            </w:pPr>
            <w:r>
              <w:t>Description</w:t>
            </w:r>
          </w:p>
        </w:tc>
      </w:tr>
      <w:tr w:rsidR="002B50C6">
        <w:trPr>
          <w:trHeight w:val="339"/>
        </w:trPr>
        <w:tc>
          <w:tcPr>
            <w:tcW w:w="1447" w:type="dxa"/>
            <w:tcMar>
              <w:top w:w="29" w:type="dxa"/>
              <w:left w:w="115" w:type="dxa"/>
              <w:bottom w:w="29" w:type="dxa"/>
              <w:right w:w="115" w:type="dxa"/>
            </w:tcMar>
          </w:tcPr>
          <w:p w:rsidR="002B50C6" w:rsidRPr="0043775C" w:rsidRDefault="008314F4" w:rsidP="002B50C6">
            <w:pPr>
              <w:pStyle w:val="PolicyHeaderFill"/>
            </w:pPr>
            <w:r>
              <w:t>1.0</w:t>
            </w:r>
          </w:p>
        </w:tc>
        <w:tc>
          <w:tcPr>
            <w:tcW w:w="2160" w:type="dxa"/>
            <w:tcMar>
              <w:top w:w="29" w:type="dxa"/>
              <w:left w:w="115" w:type="dxa"/>
              <w:bottom w:w="29" w:type="dxa"/>
              <w:right w:w="115" w:type="dxa"/>
            </w:tcMar>
          </w:tcPr>
          <w:p w:rsidR="002B50C6" w:rsidRPr="0043775C" w:rsidRDefault="002B50C6" w:rsidP="002B50C6">
            <w:pPr>
              <w:pStyle w:val="PolicyHeaderFill"/>
            </w:pPr>
            <w:r>
              <w:t>MM, DD, YYYY</w:t>
            </w:r>
          </w:p>
        </w:tc>
        <w:tc>
          <w:tcPr>
            <w:tcW w:w="2160" w:type="dxa"/>
            <w:tcMar>
              <w:top w:w="29" w:type="dxa"/>
              <w:left w:w="115" w:type="dxa"/>
              <w:bottom w:w="29" w:type="dxa"/>
              <w:right w:w="115" w:type="dxa"/>
            </w:tcMar>
          </w:tcPr>
          <w:p w:rsidR="002B50C6" w:rsidRPr="0043775C" w:rsidRDefault="002B50C6" w:rsidP="002B50C6">
            <w:pPr>
              <w:pStyle w:val="PolicyHeaderFill"/>
            </w:pPr>
            <w:r>
              <w:t>MM, DD, YYYY</w:t>
            </w:r>
          </w:p>
        </w:tc>
        <w:tc>
          <w:tcPr>
            <w:tcW w:w="3593" w:type="dxa"/>
            <w:tcMar>
              <w:top w:w="29" w:type="dxa"/>
              <w:left w:w="115" w:type="dxa"/>
              <w:bottom w:w="29" w:type="dxa"/>
              <w:right w:w="115" w:type="dxa"/>
            </w:tcMar>
          </w:tcPr>
          <w:p w:rsidR="002B50C6" w:rsidRDefault="002B50C6" w:rsidP="002B50C6"/>
        </w:tc>
      </w:tr>
      <w:tr w:rsidR="002B50C6">
        <w:trPr>
          <w:trHeight w:val="294"/>
        </w:trPr>
        <w:tc>
          <w:tcPr>
            <w:tcW w:w="1447" w:type="dxa"/>
            <w:tcMar>
              <w:top w:w="29" w:type="dxa"/>
              <w:left w:w="115" w:type="dxa"/>
              <w:bottom w:w="29" w:type="dxa"/>
              <w:right w:w="115" w:type="dxa"/>
            </w:tcMar>
          </w:tcPr>
          <w:p w:rsidR="002B50C6" w:rsidRDefault="002B50C6" w:rsidP="002B50C6">
            <w:pPr>
              <w:pStyle w:val="FooterTableHeader"/>
            </w:pPr>
          </w:p>
        </w:tc>
        <w:tc>
          <w:tcPr>
            <w:tcW w:w="2160" w:type="dxa"/>
            <w:tcMar>
              <w:top w:w="29" w:type="dxa"/>
              <w:left w:w="115" w:type="dxa"/>
              <w:bottom w:w="29" w:type="dxa"/>
              <w:right w:w="115" w:type="dxa"/>
            </w:tcMar>
          </w:tcPr>
          <w:p w:rsidR="002B50C6" w:rsidRDefault="002B50C6" w:rsidP="002B50C6">
            <w:pPr>
              <w:pStyle w:val="FooterTableHeader"/>
            </w:pPr>
          </w:p>
        </w:tc>
        <w:tc>
          <w:tcPr>
            <w:tcW w:w="2160" w:type="dxa"/>
            <w:tcMar>
              <w:top w:w="29" w:type="dxa"/>
              <w:left w:w="115" w:type="dxa"/>
              <w:bottom w:w="29" w:type="dxa"/>
              <w:right w:w="115" w:type="dxa"/>
            </w:tcMar>
          </w:tcPr>
          <w:p w:rsidR="002B50C6" w:rsidRDefault="002B50C6" w:rsidP="002B50C6">
            <w:pPr>
              <w:pStyle w:val="FooterTableHeader"/>
            </w:pPr>
          </w:p>
        </w:tc>
        <w:tc>
          <w:tcPr>
            <w:tcW w:w="3593" w:type="dxa"/>
            <w:tcMar>
              <w:top w:w="29" w:type="dxa"/>
              <w:left w:w="115" w:type="dxa"/>
              <w:bottom w:w="29" w:type="dxa"/>
              <w:right w:w="115" w:type="dxa"/>
            </w:tcMar>
          </w:tcPr>
          <w:p w:rsidR="002B50C6" w:rsidRDefault="002B50C6" w:rsidP="002B50C6">
            <w:pPr>
              <w:pStyle w:val="FooterTableHeader"/>
            </w:pPr>
          </w:p>
        </w:tc>
      </w:tr>
    </w:tbl>
    <w:p w:rsidR="002B50C6" w:rsidRDefault="002B50C6" w:rsidP="002B50C6"/>
    <w:p w:rsidR="002B50C6" w:rsidRDefault="002B50C6"/>
    <w:sectPr w:rsidR="002B50C6" w:rsidSect="00D13D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E5D" w:rsidRDefault="00F03E5D">
      <w:r>
        <w:separator/>
      </w:r>
    </w:p>
  </w:endnote>
  <w:endnote w:type="continuationSeparator" w:id="0">
    <w:p w:rsidR="00F03E5D" w:rsidRDefault="00F0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700" w:rsidRPr="00575A04" w:rsidRDefault="001C4700" w:rsidP="00575A04">
    <w:pPr>
      <w:pStyle w:val="Footer"/>
    </w:pPr>
    <w:r w:rsidRPr="00575A04">
      <w:t>Policy #</w:t>
    </w:r>
    <w:r w:rsidRPr="00575A04">
      <w:tab/>
      <w:t>CONFIDENTIAL</w:t>
    </w:r>
    <w:proofErr w:type="gramStart"/>
    <w:r w:rsidRPr="00575A04">
      <w:tab/>
    </w:r>
    <w:r>
      <w:t xml:space="preserve">  </w:t>
    </w:r>
    <w:r w:rsidRPr="00575A04">
      <w:t>Page</w:t>
    </w:r>
    <w:proofErr w:type="gramEnd"/>
    <w:r w:rsidRPr="00575A04">
      <w:t xml:space="preserve"> </w:t>
    </w:r>
    <w:r w:rsidRPr="00575A04">
      <w:fldChar w:fldCharType="begin"/>
    </w:r>
    <w:r w:rsidRPr="00575A04">
      <w:instrText xml:space="preserve"> PAGE </w:instrText>
    </w:r>
    <w:r w:rsidRPr="00575A04">
      <w:fldChar w:fldCharType="separate"/>
    </w:r>
    <w:r w:rsidR="009B554F">
      <w:rPr>
        <w:noProof/>
      </w:rPr>
      <w:t>1</w:t>
    </w:r>
    <w:r w:rsidRPr="00575A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E5D" w:rsidRDefault="00F03E5D">
      <w:r>
        <w:separator/>
      </w:r>
    </w:p>
  </w:footnote>
  <w:footnote w:type="continuationSeparator" w:id="0">
    <w:p w:rsidR="00F03E5D" w:rsidRDefault="00F03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237B7"/>
    <w:multiLevelType w:val="multilevel"/>
    <w:tmpl w:val="3B9404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2C805F35"/>
    <w:multiLevelType w:val="multilevel"/>
    <w:tmpl w:val="3B9404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520A0257"/>
    <w:multiLevelType w:val="multilevel"/>
    <w:tmpl w:val="3B9404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87C1C27"/>
    <w:multiLevelType w:val="multilevel"/>
    <w:tmpl w:val="3B9404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4700"/>
    <w:rsid w:val="0001460E"/>
    <w:rsid w:val="001068BC"/>
    <w:rsid w:val="001C4700"/>
    <w:rsid w:val="002B50C6"/>
    <w:rsid w:val="003E1AF8"/>
    <w:rsid w:val="004C43F3"/>
    <w:rsid w:val="00500EDD"/>
    <w:rsid w:val="00575A04"/>
    <w:rsid w:val="005C1A0D"/>
    <w:rsid w:val="006173D9"/>
    <w:rsid w:val="00623499"/>
    <w:rsid w:val="006410C3"/>
    <w:rsid w:val="0077690D"/>
    <w:rsid w:val="008314F4"/>
    <w:rsid w:val="00975083"/>
    <w:rsid w:val="009806C8"/>
    <w:rsid w:val="009A0295"/>
    <w:rsid w:val="009A6248"/>
    <w:rsid w:val="009B554F"/>
    <w:rsid w:val="00A332CF"/>
    <w:rsid w:val="00C96797"/>
    <w:rsid w:val="00D13DA3"/>
    <w:rsid w:val="00D741A1"/>
    <w:rsid w:val="00EF734B"/>
    <w:rsid w:val="00F03E5D"/>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9CC20F77-D93F-42DE-9FC4-F63974D7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Normal"/>
    <w:next w:val="Normal"/>
    <w:qFormat/>
    <w:rsid w:val="008314F4"/>
    <w:pPr>
      <w:keepNext/>
      <w:spacing w:before="240" w:after="60"/>
      <w:outlineLvl w:val="2"/>
    </w:pPr>
    <w:rPr>
      <w:rFonts w:cs="Arial"/>
      <w:b/>
      <w:bCs/>
      <w:color w:val="0033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basedOn w:val="Heading1"/>
    <w:rsid w:val="00D13DA3"/>
    <w:pPr>
      <w:keepNext w:val="0"/>
      <w:widowControl w:val="0"/>
      <w:spacing w:before="0" w:after="0"/>
    </w:pPr>
    <w:rPr>
      <w:rFonts w:cs="Times New Roman"/>
      <w:color w:val="00527A"/>
      <w:kern w:val="0"/>
      <w:sz w:val="24"/>
      <w:szCs w:val="20"/>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paragraph" w:customStyle="1" w:styleId="AuthorComment">
    <w:name w:val="Author Comment"/>
    <w:basedOn w:val="Normal"/>
    <w:rsid w:val="009A0295"/>
    <w:rPr>
      <w:i/>
      <w:color w:val="6666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Gateway1\Application%20Data\Microsoft\Templates\Sample%20Policy%20Template%20-%20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762411-4479-48DD-A8C4-E718B69E5793}"/>
</file>

<file path=customXml/itemProps2.xml><?xml version="1.0" encoding="utf-8"?>
<ds:datastoreItem xmlns:ds="http://schemas.openxmlformats.org/officeDocument/2006/customXml" ds:itemID="{BEB107BD-26CC-4C86-B884-9A068667B98F}"/>
</file>

<file path=customXml/itemProps3.xml><?xml version="1.0" encoding="utf-8"?>
<ds:datastoreItem xmlns:ds="http://schemas.openxmlformats.org/officeDocument/2006/customXml" ds:itemID="{5F556EE4-6EE5-4123-A608-2C81828299C2}"/>
</file>

<file path=docProps/app.xml><?xml version="1.0" encoding="utf-8"?>
<Properties xmlns="http://schemas.openxmlformats.org/officeDocument/2006/extended-properties" xmlns:vt="http://schemas.openxmlformats.org/officeDocument/2006/docPropsVTypes">
  <Template>Sample Policy Template - V12</Template>
  <TotalTime>4</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Header</vt:lpstr>
    </vt:vector>
  </TitlesOfParts>
  <Company>David Lineman</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dc:title>
  <dc:subject/>
  <dc:creator>David Lineman</dc:creator>
  <cp:keywords/>
  <dc:description/>
  <cp:lastModifiedBy>Scott Parramore</cp:lastModifiedBy>
  <cp:revision>5</cp:revision>
  <cp:lastPrinted>1900-01-01T06:00:00Z</cp:lastPrinted>
  <dcterms:created xsi:type="dcterms:W3CDTF">2017-02-06T18:21:00Z</dcterms:created>
  <dcterms:modified xsi:type="dcterms:W3CDTF">2017-12-03T21:20:00Z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