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FB59" w14:textId="6E87E889" w:rsidR="00327D3A" w:rsidRPr="00327D3A" w:rsidRDefault="00327D3A" w:rsidP="00327D3A">
      <w:pPr>
        <w:spacing w:after="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51A5A8C" wp14:editId="3F109503">
            <wp:extent cx="3893820" cy="2038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hwesternIT_justified_purple 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2"/>
                    <a:stretch/>
                  </pic:blipFill>
                  <pic:spPr bwMode="auto">
                    <a:xfrm>
                      <a:off x="0" y="0"/>
                      <a:ext cx="3894159" cy="203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3A28" w14:textId="77777777" w:rsidR="003A1FF2" w:rsidRDefault="003A1FF2" w:rsidP="003A1FF2">
      <w:pPr>
        <w:spacing w:after="0"/>
        <w:rPr>
          <w:rFonts w:cs="Arial"/>
        </w:rPr>
      </w:pPr>
    </w:p>
    <w:p w14:paraId="1CAD038A" w14:textId="77777777" w:rsidR="003A1FF2" w:rsidRDefault="003A1FF2" w:rsidP="003A1FF2">
      <w:pPr>
        <w:spacing w:after="0"/>
        <w:rPr>
          <w:rFonts w:cs="Arial"/>
        </w:rPr>
      </w:pPr>
    </w:p>
    <w:p w14:paraId="346D88B8" w14:textId="77777777" w:rsidR="003A1FF2" w:rsidRDefault="003A1FF2" w:rsidP="003A1FF2">
      <w:pPr>
        <w:spacing w:after="0"/>
        <w:rPr>
          <w:rFonts w:cs="Arial"/>
        </w:rPr>
      </w:pPr>
    </w:p>
    <w:p w14:paraId="6922CE89" w14:textId="77777777" w:rsidR="003A1FF2" w:rsidRDefault="003A1FF2" w:rsidP="003A1FF2">
      <w:pPr>
        <w:spacing w:after="0"/>
        <w:rPr>
          <w:rFonts w:cs="Arial"/>
        </w:rPr>
      </w:pPr>
    </w:p>
    <w:p w14:paraId="46E15A0E" w14:textId="31D7C662" w:rsidR="00C1244C" w:rsidRPr="00C14FBA" w:rsidRDefault="000A0DA2" w:rsidP="001A3C46">
      <w:pPr>
        <w:spacing w:after="0"/>
        <w:jc w:val="right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DataHub Framework &amp; </w:t>
      </w:r>
      <w:r>
        <w:rPr>
          <w:rFonts w:cs="Arial"/>
          <w:b/>
          <w:sz w:val="48"/>
          <w:szCs w:val="48"/>
        </w:rPr>
        <w:br/>
        <w:t>Technical Documentation</w:t>
      </w:r>
    </w:p>
    <w:p w14:paraId="039825AE" w14:textId="347C52BC" w:rsidR="003A1FF2" w:rsidRDefault="003A1FF2" w:rsidP="00C14FBA">
      <w:pPr>
        <w:spacing w:after="0"/>
        <w:jc w:val="right"/>
        <w:rPr>
          <w:rFonts w:cs="Arial"/>
          <w:sz w:val="48"/>
          <w:szCs w:val="48"/>
        </w:rPr>
      </w:pPr>
    </w:p>
    <w:p w14:paraId="207EC87F" w14:textId="77777777" w:rsidR="001A3C46" w:rsidRPr="00C14FBA" w:rsidRDefault="001A3C46" w:rsidP="00C14FBA">
      <w:pPr>
        <w:spacing w:after="0"/>
        <w:jc w:val="right"/>
        <w:rPr>
          <w:rFonts w:cs="Arial"/>
          <w:sz w:val="48"/>
          <w:szCs w:val="48"/>
        </w:rPr>
      </w:pPr>
    </w:p>
    <w:p w14:paraId="7BA75D50" w14:textId="23D93CDB" w:rsidR="00C14FBA" w:rsidRDefault="00C14FBA" w:rsidP="00C14FBA">
      <w:pPr>
        <w:spacing w:after="0"/>
        <w:jc w:val="right"/>
        <w:rPr>
          <w:rFonts w:cs="Arial"/>
          <w:sz w:val="44"/>
        </w:rPr>
      </w:pPr>
    </w:p>
    <w:p w14:paraId="60006497" w14:textId="08B69DB4" w:rsidR="00C14FBA" w:rsidRDefault="00C14FBA" w:rsidP="00C14FBA">
      <w:pPr>
        <w:spacing w:after="0"/>
        <w:jc w:val="right"/>
        <w:rPr>
          <w:rFonts w:cs="Arial"/>
          <w:sz w:val="44"/>
        </w:rPr>
      </w:pPr>
    </w:p>
    <w:p w14:paraId="10E29989" w14:textId="3ADE6D94" w:rsidR="00C14FBA" w:rsidRDefault="00C14FBA" w:rsidP="005D062E">
      <w:pPr>
        <w:spacing w:after="0"/>
        <w:rPr>
          <w:rFonts w:cs="Arial"/>
          <w:sz w:val="44"/>
        </w:rPr>
      </w:pPr>
    </w:p>
    <w:p w14:paraId="1825F9EF" w14:textId="77777777" w:rsidR="00C14FBA" w:rsidRDefault="00C14FBA" w:rsidP="00C14FBA">
      <w:pPr>
        <w:spacing w:after="0"/>
        <w:jc w:val="right"/>
        <w:rPr>
          <w:rFonts w:cs="Arial"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070"/>
        <w:gridCol w:w="1345"/>
        <w:gridCol w:w="4945"/>
      </w:tblGrid>
      <w:tr w:rsidR="00C14FBA" w14:paraId="14484F7F" w14:textId="77777777" w:rsidTr="009F1CC4">
        <w:tc>
          <w:tcPr>
            <w:tcW w:w="9350" w:type="dxa"/>
            <w:gridSpan w:val="4"/>
            <w:tcBorders>
              <w:top w:val="single" w:sz="4" w:space="0" w:color="4E2A84"/>
              <w:left w:val="single" w:sz="4" w:space="0" w:color="4E2A84"/>
              <w:bottom w:val="single" w:sz="4" w:space="0" w:color="4E2A84"/>
              <w:right w:val="single" w:sz="4" w:space="0" w:color="4E2A84"/>
            </w:tcBorders>
            <w:shd w:val="clear" w:color="auto" w:fill="4E2A84"/>
          </w:tcPr>
          <w:p w14:paraId="6854B247" w14:textId="77777777" w:rsidR="00C14FBA" w:rsidRPr="00402D5D" w:rsidRDefault="00C14FBA" w:rsidP="009F1CC4">
            <w:pPr>
              <w:rPr>
                <w:rFonts w:cs="Arial"/>
                <w:b/>
                <w:sz w:val="21"/>
                <w:szCs w:val="21"/>
              </w:rPr>
            </w:pPr>
            <w:r>
              <w:rPr>
                <w:rFonts w:cs="Arial"/>
                <w:b/>
                <w:color w:val="FFFFFF" w:themeColor="background1"/>
                <w:szCs w:val="21"/>
              </w:rPr>
              <w:t>Project Charter</w:t>
            </w:r>
            <w:r w:rsidRPr="000C4D3F">
              <w:rPr>
                <w:rFonts w:cs="Arial"/>
                <w:b/>
                <w:color w:val="FFFFFF" w:themeColor="background1"/>
                <w:szCs w:val="21"/>
              </w:rPr>
              <w:t xml:space="preserve"> Version History</w:t>
            </w:r>
          </w:p>
        </w:tc>
      </w:tr>
      <w:tr w:rsidR="00C14FBA" w14:paraId="27E2A836" w14:textId="77777777" w:rsidTr="009F1CC4">
        <w:trPr>
          <w:trHeight w:val="20"/>
        </w:trPr>
        <w:tc>
          <w:tcPr>
            <w:tcW w:w="990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351E7EB9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6DF052E6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Author</w:t>
            </w:r>
          </w:p>
        </w:tc>
        <w:tc>
          <w:tcPr>
            <w:tcW w:w="1345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37A93DA3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Version Date</w:t>
            </w:r>
          </w:p>
        </w:tc>
        <w:tc>
          <w:tcPr>
            <w:tcW w:w="4945" w:type="dxa"/>
            <w:tcBorders>
              <w:top w:val="single" w:sz="4" w:space="0" w:color="4E2A84"/>
            </w:tcBorders>
            <w:shd w:val="clear" w:color="auto" w:fill="BFBFBF" w:themeFill="background1" w:themeFillShade="BF"/>
          </w:tcPr>
          <w:p w14:paraId="72AE6842" w14:textId="77777777" w:rsidR="00C14FBA" w:rsidRPr="00402D5D" w:rsidRDefault="00C14FBA" w:rsidP="009F1CC4">
            <w:pPr>
              <w:rPr>
                <w:rFonts w:ascii="Arial Narrow" w:hAnsi="Arial Narrow" w:cs="Arial"/>
                <w:b/>
                <w:sz w:val="21"/>
                <w:szCs w:val="21"/>
              </w:rPr>
            </w:pPr>
            <w:r w:rsidRPr="00402D5D">
              <w:rPr>
                <w:rFonts w:ascii="Arial Narrow" w:hAnsi="Arial Narrow" w:cs="Arial"/>
                <w:b/>
                <w:sz w:val="21"/>
                <w:szCs w:val="21"/>
              </w:rPr>
              <w:t>Comments</w:t>
            </w:r>
          </w:p>
        </w:tc>
      </w:tr>
      <w:tr w:rsidR="00C14FBA" w14:paraId="0600F84B" w14:textId="77777777" w:rsidTr="009F1CC4">
        <w:trPr>
          <w:trHeight w:val="20"/>
        </w:trPr>
        <w:tc>
          <w:tcPr>
            <w:tcW w:w="990" w:type="dxa"/>
          </w:tcPr>
          <w:p w14:paraId="3D5BD963" w14:textId="77777777" w:rsidR="00C14FBA" w:rsidRPr="00402D5D" w:rsidRDefault="00C14FBA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1.0</w:t>
            </w:r>
          </w:p>
        </w:tc>
        <w:tc>
          <w:tcPr>
            <w:tcW w:w="2070" w:type="dxa"/>
          </w:tcPr>
          <w:p w14:paraId="07AF8688" w14:textId="77A49C9A" w:rsidR="00C14FBA" w:rsidRPr="00402D5D" w:rsidRDefault="001A3C46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</w:t>
            </w:r>
          </w:p>
        </w:tc>
        <w:tc>
          <w:tcPr>
            <w:tcW w:w="1345" w:type="dxa"/>
          </w:tcPr>
          <w:p w14:paraId="73C8C188" w14:textId="6FE962DD" w:rsidR="00C14FBA" w:rsidRPr="00402D5D" w:rsidRDefault="000A0DA2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05/28</w:t>
            </w:r>
            <w:r w:rsidR="008A6E82">
              <w:rPr>
                <w:rFonts w:ascii="Arial Narrow" w:hAnsi="Arial Narrow" w:cs="Arial"/>
                <w:sz w:val="21"/>
                <w:szCs w:val="21"/>
              </w:rPr>
              <w:t>/19</w:t>
            </w:r>
          </w:p>
        </w:tc>
        <w:tc>
          <w:tcPr>
            <w:tcW w:w="4945" w:type="dxa"/>
          </w:tcPr>
          <w:p w14:paraId="77B56C19" w14:textId="77777777" w:rsidR="00C14FBA" w:rsidRPr="00402D5D" w:rsidRDefault="00C14FBA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Initial Draft</w:t>
            </w:r>
          </w:p>
        </w:tc>
      </w:tr>
      <w:tr w:rsidR="00C14FBA" w14:paraId="0CA24A5A" w14:textId="77777777" w:rsidTr="009F1CC4">
        <w:trPr>
          <w:trHeight w:val="20"/>
        </w:trPr>
        <w:tc>
          <w:tcPr>
            <w:tcW w:w="990" w:type="dxa"/>
          </w:tcPr>
          <w:p w14:paraId="6E41F670" w14:textId="07F95A7C" w:rsidR="00C14FBA" w:rsidRDefault="001A611C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1.1</w:t>
            </w:r>
          </w:p>
        </w:tc>
        <w:tc>
          <w:tcPr>
            <w:tcW w:w="2070" w:type="dxa"/>
          </w:tcPr>
          <w:p w14:paraId="7398126E" w14:textId="39827088" w:rsidR="00C14FBA" w:rsidRDefault="001A611C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</w:t>
            </w:r>
          </w:p>
        </w:tc>
        <w:tc>
          <w:tcPr>
            <w:tcW w:w="1345" w:type="dxa"/>
          </w:tcPr>
          <w:p w14:paraId="2C080DF5" w14:textId="330E9D82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</w:t>
            </w:r>
            <w:r w:rsidR="002934E5">
              <w:rPr>
                <w:rFonts w:ascii="Arial Narrow" w:hAnsi="Arial Narrow" w:cs="Arial"/>
                <w:sz w:val="21"/>
                <w:szCs w:val="21"/>
              </w:rPr>
              <w:t>6/10/19</w:t>
            </w:r>
          </w:p>
        </w:tc>
        <w:tc>
          <w:tcPr>
            <w:tcW w:w="4945" w:type="dxa"/>
          </w:tcPr>
          <w:p w14:paraId="4C0C3D8E" w14:textId="75F1E20B" w:rsidR="00C14FBA" w:rsidRDefault="002934E5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Edits; added DataHub Components section</w:t>
            </w:r>
          </w:p>
        </w:tc>
      </w:tr>
      <w:tr w:rsidR="00C14FBA" w14:paraId="38F2A502" w14:textId="77777777" w:rsidTr="009F1CC4">
        <w:trPr>
          <w:trHeight w:val="20"/>
        </w:trPr>
        <w:tc>
          <w:tcPr>
            <w:tcW w:w="990" w:type="dxa"/>
          </w:tcPr>
          <w:p w14:paraId="490B2966" w14:textId="21D0892A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1.2</w:t>
            </w:r>
          </w:p>
        </w:tc>
        <w:tc>
          <w:tcPr>
            <w:tcW w:w="2070" w:type="dxa"/>
          </w:tcPr>
          <w:p w14:paraId="4C400B91" w14:textId="400F9F76" w:rsidR="00C14FBA" w:rsidRDefault="00203131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Jason Miller /Casey Colby</w:t>
            </w:r>
          </w:p>
        </w:tc>
        <w:tc>
          <w:tcPr>
            <w:tcW w:w="1345" w:type="dxa"/>
          </w:tcPr>
          <w:p w14:paraId="50088787" w14:textId="2FE73305" w:rsidR="00C14FBA" w:rsidRDefault="00203131" w:rsidP="009F1CC4">
            <w:pPr>
              <w:jc w:val="center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09/04/19</w:t>
            </w:r>
          </w:p>
        </w:tc>
        <w:tc>
          <w:tcPr>
            <w:tcW w:w="4945" w:type="dxa"/>
          </w:tcPr>
          <w:p w14:paraId="72441550" w14:textId="58AACDEA" w:rsidR="00C14FBA" w:rsidRDefault="00203131" w:rsidP="009F1CC4">
            <w:pPr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Final user documentation and post-development commentary</w:t>
            </w:r>
          </w:p>
        </w:tc>
      </w:tr>
    </w:tbl>
    <w:p w14:paraId="784403BD" w14:textId="0E469AC3" w:rsidR="00C14FBA" w:rsidRDefault="00C14FBA" w:rsidP="00C14FBA">
      <w:pPr>
        <w:spacing w:after="0"/>
        <w:rPr>
          <w:rFonts w:cs="Arial"/>
          <w:sz w:val="44"/>
        </w:rPr>
      </w:pPr>
    </w:p>
    <w:p w14:paraId="45ABD553" w14:textId="70067EE7" w:rsidR="00923B46" w:rsidRDefault="00923B46" w:rsidP="00C14FBA">
      <w:pPr>
        <w:spacing w:after="0"/>
        <w:rPr>
          <w:rFonts w:cs="Arial"/>
          <w:sz w:val="44"/>
        </w:rPr>
      </w:pPr>
    </w:p>
    <w:p w14:paraId="145533DD" w14:textId="256BAD77" w:rsidR="00923B46" w:rsidRPr="00C14FBA" w:rsidRDefault="00923B46" w:rsidP="00923B46">
      <w:pPr>
        <w:rPr>
          <w:rFonts w:cs="Arial"/>
          <w:sz w:val="44"/>
        </w:rPr>
      </w:pPr>
      <w:r>
        <w:rPr>
          <w:rFonts w:cs="Arial"/>
          <w:sz w:val="44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1877154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B36F77" w14:textId="1982C00E" w:rsidR="00923B46" w:rsidRPr="00923B46" w:rsidRDefault="00923B46">
          <w:pPr>
            <w:pStyle w:val="TOCHeading"/>
            <w:rPr>
              <w:color w:val="4E2A84"/>
            </w:rPr>
          </w:pPr>
          <w:r w:rsidRPr="00923B46">
            <w:rPr>
              <w:color w:val="4E2A84"/>
            </w:rPr>
            <w:t>Contents</w:t>
          </w:r>
        </w:p>
        <w:p w14:paraId="2F470BF1" w14:textId="044E9C3D" w:rsidR="00F34116" w:rsidRDefault="00923B4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4098" w:history="1">
            <w:r w:rsidR="00F34116" w:rsidRPr="007E7F6A">
              <w:rPr>
                <w:rStyle w:val="Hyperlink"/>
                <w:noProof/>
              </w:rPr>
              <w:t>Overview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_Toc18914098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3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53A1FC02" w14:textId="52620E1C" w:rsidR="00F34116" w:rsidRDefault="00DF74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099" w:history="1">
            <w:r w:rsidR="00F34116" w:rsidRPr="007E7F6A">
              <w:rPr>
                <w:rStyle w:val="Hyperlink"/>
                <w:noProof/>
              </w:rPr>
              <w:t>Architecture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_Toc18914099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4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084DC24E" w14:textId="7651CF58" w:rsidR="00F34116" w:rsidRDefault="00DF74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0" w:history="1">
            <w:r w:rsidR="00F34116" w:rsidRPr="007E7F6A">
              <w:rPr>
                <w:rStyle w:val="Hyperlink"/>
                <w:noProof/>
              </w:rPr>
              <w:t>Approach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_Toc18914100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5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2A23DB31" w14:textId="6E0FF299" w:rsidR="00F34116" w:rsidRDefault="00DF74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1" w:history="1">
            <w:r w:rsidR="00F34116" w:rsidRPr="007E7F6A">
              <w:rPr>
                <w:rStyle w:val="Hyperlink"/>
                <w:noProof/>
              </w:rPr>
              <w:t>Security and Access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_Toc18914101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3C9CAAC3" w14:textId="603970AF" w:rsidR="00F34116" w:rsidRDefault="00DF74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2" w:history="1">
            <w:r w:rsidR="00F34116" w:rsidRPr="007E7F6A">
              <w:rPr>
                <w:rStyle w:val="Hyperlink"/>
                <w:noProof/>
              </w:rPr>
              <w:t>DataHub Components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_Toc18914102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614FCB03" w14:textId="2A9E315D" w:rsidR="00F34116" w:rsidRDefault="00DF74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3" w:history="1">
            <w:r w:rsidR="00F34116" w:rsidRPr="007E7F6A">
              <w:rPr>
                <w:rStyle w:val="Hyperlink"/>
                <w:noProof/>
              </w:rPr>
              <w:t>User Guidance for Requesting Developer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_Toc18914103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8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4D2C1991" w14:textId="21F1F31E" w:rsidR="00F34116" w:rsidRDefault="00DF74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4" w:history="1">
            <w:r w:rsidR="00F34116" w:rsidRPr="007E7F6A">
              <w:rPr>
                <w:rStyle w:val="Hyperlink"/>
                <w:noProof/>
              </w:rPr>
              <w:t>Guidelines for Database Review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_Toc18914104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8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2FDDA399" w14:textId="7E3B892D" w:rsidR="00F34116" w:rsidRDefault="00DF74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5" w:history="1">
            <w:r w:rsidR="00F34116" w:rsidRPr="007E7F6A">
              <w:rPr>
                <w:rStyle w:val="Hyperlink"/>
                <w:noProof/>
              </w:rPr>
              <w:t>Guidelines for Creating SQL Queries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_Toc18914105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11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64D9E8D7" w14:textId="2CB372D1" w:rsidR="00F34116" w:rsidRDefault="00DF74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6" w:history="1">
            <w:r w:rsidR="00F34116" w:rsidRPr="007E7F6A">
              <w:rPr>
                <w:rStyle w:val="Hyperlink"/>
                <w:noProof/>
              </w:rPr>
              <w:t>Guidelines for an Apigee/DataHub Request Format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_Toc18914106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11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16C66C28" w14:textId="270AA778" w:rsidR="00F34116" w:rsidRDefault="00DF74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7" w:history="1">
            <w:r w:rsidR="00F34116" w:rsidRPr="007E7F6A">
              <w:rPr>
                <w:rStyle w:val="Hyperlink"/>
                <w:noProof/>
              </w:rPr>
              <w:t>DataHub Response Success and Error Samples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_Toc18914107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16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552FEB29" w14:textId="404A1B5B" w:rsidR="00F34116" w:rsidRDefault="00DF74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914108" w:history="1">
            <w:r w:rsidR="00F34116" w:rsidRPr="007E7F6A">
              <w:rPr>
                <w:rStyle w:val="Hyperlink"/>
                <w:noProof/>
              </w:rPr>
              <w:t>Limits: Best Practices and Policies</w:t>
            </w:r>
            <w:r w:rsidR="00F34116">
              <w:rPr>
                <w:noProof/>
                <w:webHidden/>
              </w:rPr>
              <w:tab/>
            </w:r>
            <w:r w:rsidR="00F34116">
              <w:rPr>
                <w:noProof/>
                <w:webHidden/>
              </w:rPr>
              <w:fldChar w:fldCharType="begin"/>
            </w:r>
            <w:r w:rsidR="00F34116">
              <w:rPr>
                <w:noProof/>
                <w:webHidden/>
              </w:rPr>
              <w:instrText xml:space="preserve"> PAGEREF _Toc18914108 \h </w:instrText>
            </w:r>
            <w:r w:rsidR="00F34116">
              <w:rPr>
                <w:noProof/>
                <w:webHidden/>
              </w:rPr>
            </w:r>
            <w:r w:rsidR="00F34116">
              <w:rPr>
                <w:noProof/>
                <w:webHidden/>
              </w:rPr>
              <w:fldChar w:fldCharType="separate"/>
            </w:r>
            <w:r w:rsidR="00F34116">
              <w:rPr>
                <w:noProof/>
                <w:webHidden/>
              </w:rPr>
              <w:t>17</w:t>
            </w:r>
            <w:r w:rsidR="00F34116">
              <w:rPr>
                <w:noProof/>
                <w:webHidden/>
              </w:rPr>
              <w:fldChar w:fldCharType="end"/>
            </w:r>
          </w:hyperlink>
        </w:p>
        <w:p w14:paraId="35C7FB54" w14:textId="55F190A6" w:rsidR="00923B46" w:rsidRDefault="00923B46">
          <w:r>
            <w:rPr>
              <w:b/>
              <w:bCs/>
              <w:noProof/>
            </w:rPr>
            <w:fldChar w:fldCharType="end"/>
          </w:r>
        </w:p>
      </w:sdtContent>
    </w:sdt>
    <w:p w14:paraId="036899B7" w14:textId="72C47959" w:rsidR="00DA5C0E" w:rsidRDefault="00DA5C0E">
      <w:pPr>
        <w:rPr>
          <w:rFonts w:cs="Arial"/>
          <w:sz w:val="44"/>
        </w:rPr>
      </w:pPr>
      <w:r>
        <w:rPr>
          <w:rFonts w:cs="Arial"/>
          <w:sz w:val="44"/>
        </w:rPr>
        <w:br w:type="page"/>
      </w:r>
    </w:p>
    <w:p w14:paraId="76703D72" w14:textId="77777777" w:rsidR="00923B46" w:rsidRPr="00C14FBA" w:rsidRDefault="00923B46" w:rsidP="00923B46">
      <w:pPr>
        <w:rPr>
          <w:rFonts w:cs="Arial"/>
          <w:sz w:val="44"/>
        </w:rPr>
        <w:sectPr w:rsidR="00923B46" w:rsidRPr="00C14FBA" w:rsidSect="00F7205E">
          <w:headerReference w:type="default" r:id="rId12"/>
          <w:footerReference w:type="even" r:id="rId13"/>
          <w:footerReference w:type="default" r:id="rId14"/>
          <w:pgSz w:w="12240" w:h="15840"/>
          <w:pgMar w:top="1152" w:right="1440" w:bottom="1152" w:left="1440" w:header="576" w:footer="576" w:gutter="0"/>
          <w:cols w:space="720"/>
          <w:titlePg/>
          <w:docGrid w:linePitch="360"/>
        </w:sectPr>
      </w:pPr>
    </w:p>
    <w:p w14:paraId="2957D8E2" w14:textId="2D32C86A" w:rsidR="001A3C46" w:rsidRPr="001A3C46" w:rsidRDefault="00135E4C" w:rsidP="001A3C46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0" w:name="_Toc18914098"/>
      <w:r>
        <w:rPr>
          <w:color w:val="FFFFFF" w:themeColor="background1"/>
          <w:sz w:val="32"/>
        </w:rPr>
        <w:lastRenderedPageBreak/>
        <w:t>Overview</w:t>
      </w:r>
      <w:bookmarkEnd w:id="0"/>
    </w:p>
    <w:p w14:paraId="415D2C43" w14:textId="28379842" w:rsidR="00540025" w:rsidRDefault="00540025" w:rsidP="00926AA6">
      <w:pPr>
        <w:rPr>
          <w:rFonts w:cs="Arial"/>
        </w:rPr>
      </w:pPr>
    </w:p>
    <w:p w14:paraId="6A420083" w14:textId="77777777" w:rsidR="00C8092F" w:rsidRDefault="00651E88" w:rsidP="00651E8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NU currently has multiple relational databases in the ecosphere of tools within NUIT. However, it is difficult to access </w:t>
      </w:r>
      <w:r w:rsidR="00A37980">
        <w:rPr>
          <w:rFonts w:cs="Arial"/>
        </w:rPr>
        <w:t xml:space="preserve">the </w:t>
      </w:r>
      <w:r>
        <w:rPr>
          <w:rFonts w:cs="Arial"/>
        </w:rPr>
        <w:t xml:space="preserve">data stored within these relational databases by other NU systems. </w:t>
      </w:r>
    </w:p>
    <w:p w14:paraId="18E578C2" w14:textId="009B8B77" w:rsidR="00651E88" w:rsidRDefault="00651E88" w:rsidP="00651E8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For example, </w:t>
      </w:r>
      <w:r w:rsidRPr="00665C6E">
        <w:rPr>
          <w:rFonts w:cs="Arial"/>
          <w:b/>
        </w:rPr>
        <w:t>InfoEd</w:t>
      </w:r>
      <w:r>
        <w:rPr>
          <w:rFonts w:cs="Arial"/>
        </w:rPr>
        <w:t xml:space="preserve"> is a relational database containing valuable </w:t>
      </w:r>
      <w:r w:rsidR="00A37980">
        <w:rPr>
          <w:rFonts w:cs="Arial"/>
        </w:rPr>
        <w:t xml:space="preserve">research </w:t>
      </w:r>
      <w:r>
        <w:rPr>
          <w:rFonts w:cs="Arial"/>
        </w:rPr>
        <w:t xml:space="preserve">grant application data that the Research Portal </w:t>
      </w:r>
      <w:r w:rsidR="00A37980">
        <w:rPr>
          <w:rFonts w:cs="Arial"/>
        </w:rPr>
        <w:t xml:space="preserve">(which tracks active research projects) </w:t>
      </w:r>
      <w:r>
        <w:rPr>
          <w:rFonts w:cs="Arial"/>
        </w:rPr>
        <w:t>could utilize if that data were easier to access. The value of the data is lost when it cannot be called by other systems.</w:t>
      </w:r>
    </w:p>
    <w:p w14:paraId="4715D62C" w14:textId="3BEC9D96" w:rsidR="001914EC" w:rsidRPr="001914EC" w:rsidRDefault="001914EC" w:rsidP="00651E88">
      <w:pPr>
        <w:rPr>
          <w:rFonts w:cs="Arial"/>
        </w:rPr>
      </w:pPr>
      <w:r>
        <w:rPr>
          <w:rFonts w:cs="Arial"/>
        </w:rPr>
        <w:t xml:space="preserve">What is needed is a middleware translator that can receive an API call from any system, translate that call into an SQL query against a </w:t>
      </w:r>
      <w:r w:rsidR="00A37980">
        <w:rPr>
          <w:rFonts w:cs="Arial"/>
        </w:rPr>
        <w:t xml:space="preserve">relational </w:t>
      </w:r>
      <w:r>
        <w:rPr>
          <w:rFonts w:cs="Arial"/>
        </w:rPr>
        <w:t xml:space="preserve">database and retrieve the data, and then convert that data into </w:t>
      </w:r>
      <w:r w:rsidR="00C8092F">
        <w:rPr>
          <w:rFonts w:cs="Arial"/>
        </w:rPr>
        <w:t xml:space="preserve">JSON </w:t>
      </w:r>
      <w:r>
        <w:rPr>
          <w:rFonts w:cs="Arial"/>
        </w:rPr>
        <w:t xml:space="preserve">in the </w:t>
      </w:r>
      <w:r w:rsidR="004D65A8">
        <w:rPr>
          <w:rFonts w:cs="Arial"/>
        </w:rPr>
        <w:t>response</w:t>
      </w:r>
      <w:r>
        <w:rPr>
          <w:rFonts w:cs="Arial"/>
        </w:rPr>
        <w:t>.</w:t>
      </w:r>
    </w:p>
    <w:p w14:paraId="1B6FD4F1" w14:textId="76CA51C6" w:rsidR="001914EC" w:rsidRDefault="001914EC" w:rsidP="00651E88">
      <w:r>
        <w:t>We are calling that middleware translator “DataHub”.</w:t>
      </w:r>
    </w:p>
    <w:p w14:paraId="40D7209D" w14:textId="38DC00FA" w:rsidR="00651E88" w:rsidRDefault="00651E88" w:rsidP="00651E88">
      <w:r>
        <w:t xml:space="preserve">The purpose of DataHub is to expose </w:t>
      </w:r>
      <w:r w:rsidR="00A37980">
        <w:t xml:space="preserve">the </w:t>
      </w:r>
      <w:r>
        <w:t>data in a relational database as RESTful endpoints that can be easi</w:t>
      </w:r>
      <w:r w:rsidR="001914EC">
        <w:t>ly accessible to other systems.</w:t>
      </w:r>
      <w:r w:rsidR="00D361D2">
        <w:t xml:space="preserve"> The following diagram represents the high-level sequence.</w:t>
      </w:r>
    </w:p>
    <w:p w14:paraId="080C9AF9" w14:textId="71ED7F1E" w:rsidR="00F501C1" w:rsidRDefault="00F501C1" w:rsidP="00651E88"/>
    <w:p w14:paraId="77D2DC52" w14:textId="37EDB9F4" w:rsidR="00C8092F" w:rsidRDefault="00F501C1">
      <w:r>
        <w:rPr>
          <w:rFonts w:cs="Arial"/>
          <w:noProof/>
        </w:rPr>
        <w:drawing>
          <wp:inline distT="0" distB="0" distL="0" distR="0" wp14:anchorId="1EEFC05C" wp14:editId="53F8410C">
            <wp:extent cx="5895975" cy="4543425"/>
            <wp:effectExtent l="38100" t="19050" r="85725" b="2857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4F5EC7C" w14:textId="77777777" w:rsidR="00A37980" w:rsidRPr="00F03CB9" w:rsidRDefault="00A37980" w:rsidP="00A244A2">
      <w:pPr>
        <w:rPr>
          <w:rFonts w:cs="Arial"/>
        </w:rPr>
      </w:pPr>
    </w:p>
    <w:p w14:paraId="77D8EE52" w14:textId="4DDD5C1A" w:rsidR="00135E4C" w:rsidRPr="00F03CB9" w:rsidRDefault="00F03CB9" w:rsidP="00F03CB9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1" w:name="_Toc18914099"/>
      <w:r>
        <w:rPr>
          <w:color w:val="FFFFFF" w:themeColor="background1"/>
          <w:sz w:val="32"/>
        </w:rPr>
        <w:t>Architecture</w:t>
      </w:r>
      <w:bookmarkEnd w:id="1"/>
    </w:p>
    <w:p w14:paraId="7EA50BE0" w14:textId="6A628910" w:rsidR="00E600A8" w:rsidRDefault="00E600A8">
      <w:pPr>
        <w:rPr>
          <w:rFonts w:cs="Arial"/>
          <w:b/>
        </w:rPr>
      </w:pPr>
    </w:p>
    <w:p w14:paraId="76E18BCE" w14:textId="77777777" w:rsidR="00B8631F" w:rsidRPr="003152CB" w:rsidRDefault="00B8631F" w:rsidP="00926AA6">
      <w:pPr>
        <w:rPr>
          <w:rFonts w:cs="Arial"/>
          <w:b/>
        </w:rPr>
      </w:pPr>
    </w:p>
    <w:p w14:paraId="5B0B9491" w14:textId="47C9E01A" w:rsidR="00813FCB" w:rsidRDefault="00724BD5" w:rsidP="00976D0F">
      <w:pPr>
        <w:ind w:left="144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6A70E94" wp14:editId="11E752AD">
            <wp:extent cx="4486901" cy="670653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Karchitec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FBD8" w14:textId="06FA9EE5" w:rsidR="00F03CB9" w:rsidRDefault="00F03CB9" w:rsidP="00926AA6">
      <w:pPr>
        <w:rPr>
          <w:rFonts w:cs="Arial"/>
        </w:rPr>
      </w:pPr>
    </w:p>
    <w:p w14:paraId="0B9C12B7" w14:textId="67B0B70D" w:rsidR="00067038" w:rsidRDefault="00067038" w:rsidP="00067038"/>
    <w:p w14:paraId="7D86A8E7" w14:textId="3C1F101F" w:rsidR="00067038" w:rsidRPr="001A3C46" w:rsidRDefault="00D361D2" w:rsidP="00067038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2" w:name="_Toc18914100"/>
      <w:r>
        <w:rPr>
          <w:color w:val="FFFFFF" w:themeColor="background1"/>
          <w:sz w:val="32"/>
        </w:rPr>
        <w:t>Approach</w:t>
      </w:r>
      <w:bookmarkEnd w:id="2"/>
    </w:p>
    <w:p w14:paraId="320AAF7D" w14:textId="426E1990" w:rsidR="00067038" w:rsidRDefault="00067038" w:rsidP="00067038">
      <w:pPr>
        <w:rPr>
          <w:rFonts w:cs="Arial"/>
        </w:rPr>
      </w:pPr>
    </w:p>
    <w:p w14:paraId="75506A4B" w14:textId="77777777" w:rsidR="00CA098E" w:rsidRDefault="00987EE9" w:rsidP="00067038">
      <w:pPr>
        <w:rPr>
          <w:rFonts w:cs="Arial"/>
        </w:rPr>
      </w:pPr>
      <w:r w:rsidRPr="00662D32">
        <w:rPr>
          <w:rFonts w:cs="Arial"/>
          <w:b/>
        </w:rPr>
        <w:t>Apigee</w:t>
      </w:r>
      <w:r w:rsidRPr="00662D32">
        <w:rPr>
          <w:rFonts w:cs="Arial"/>
        </w:rPr>
        <w:t xml:space="preserve"> will be used as a proxy for all RESTful endpoints; no </w:t>
      </w:r>
      <w:r>
        <w:rPr>
          <w:rFonts w:cs="Arial"/>
        </w:rPr>
        <w:t>consumer</w:t>
      </w:r>
      <w:r w:rsidRPr="00662D32">
        <w:rPr>
          <w:rFonts w:cs="Arial"/>
        </w:rPr>
        <w:t xml:space="preserve"> will hit DataHub directly.</w:t>
      </w:r>
    </w:p>
    <w:p w14:paraId="39354663" w14:textId="1AEF9C6B" w:rsidR="00662D32" w:rsidRDefault="001E0128" w:rsidP="00067038">
      <w:pPr>
        <w:rPr>
          <w:rFonts w:cs="Arial"/>
        </w:rPr>
      </w:pPr>
      <w:r>
        <w:rPr>
          <w:rFonts w:cs="Arial"/>
        </w:rPr>
        <w:t xml:space="preserve">The </w:t>
      </w:r>
      <w:r w:rsidRPr="001E0128">
        <w:rPr>
          <w:rFonts w:cs="Arial"/>
          <w:b/>
        </w:rPr>
        <w:t>customer API proxy</w:t>
      </w:r>
      <w:r>
        <w:rPr>
          <w:rFonts w:cs="Arial"/>
        </w:rPr>
        <w:t xml:space="preserve"> will call another API proxy called the </w:t>
      </w:r>
      <w:r w:rsidRPr="001E0128">
        <w:rPr>
          <w:rFonts w:cs="Arial"/>
          <w:b/>
        </w:rPr>
        <w:t>DataHub proxy</w:t>
      </w:r>
      <w:r>
        <w:rPr>
          <w:rFonts w:cs="Arial"/>
        </w:rPr>
        <w:t>. All customer pr</w:t>
      </w:r>
      <w:r w:rsidR="0061137B">
        <w:rPr>
          <w:rFonts w:cs="Arial"/>
        </w:rPr>
        <w:t>oxies, no</w:t>
      </w:r>
      <w:r>
        <w:rPr>
          <w:rFonts w:cs="Arial"/>
        </w:rPr>
        <w:t xml:space="preserve"> matter which query is being called, will call the Dat</w:t>
      </w:r>
      <w:r w:rsidR="00C91E05">
        <w:rPr>
          <w:rFonts w:cs="Arial"/>
        </w:rPr>
        <w:t>a</w:t>
      </w:r>
      <w:r>
        <w:rPr>
          <w:rFonts w:cs="Arial"/>
        </w:rPr>
        <w:t>Hub proxy; it is a many-to-one relationship.</w:t>
      </w:r>
    </w:p>
    <w:p w14:paraId="7FF9ABB5" w14:textId="14416D78" w:rsidR="00CA098E" w:rsidRDefault="00CA098E" w:rsidP="00067038">
      <w:pPr>
        <w:rPr>
          <w:rFonts w:cs="Arial"/>
        </w:rPr>
      </w:pPr>
      <w:r w:rsidRPr="00CA098E">
        <w:rPr>
          <w:rFonts w:cs="Arial"/>
          <w:b/>
        </w:rPr>
        <w:t>NOTE:</w:t>
      </w:r>
      <w:r>
        <w:rPr>
          <w:rFonts w:cs="Arial"/>
        </w:rPr>
        <w:t xml:space="preserve"> A c</w:t>
      </w:r>
      <w:r w:rsidRPr="00CA098E">
        <w:rPr>
          <w:rFonts w:cs="Arial"/>
        </w:rPr>
        <w:t xml:space="preserve">ustomer proxy is required in order to standardize access and approval over which users </w:t>
      </w:r>
      <w:r>
        <w:rPr>
          <w:rFonts w:cs="Arial"/>
        </w:rPr>
        <w:t>are allowed to</w:t>
      </w:r>
      <w:r w:rsidRPr="00CA098E">
        <w:rPr>
          <w:rFonts w:cs="Arial"/>
        </w:rPr>
        <w:t xml:space="preserve"> run which queries</w:t>
      </w:r>
      <w:r>
        <w:rPr>
          <w:rFonts w:cs="Arial"/>
        </w:rPr>
        <w:t>.</w:t>
      </w:r>
    </w:p>
    <w:p w14:paraId="14D7906B" w14:textId="31F4309C" w:rsidR="00B80289" w:rsidRDefault="001E0128" w:rsidP="00067038">
      <w:pPr>
        <w:rPr>
          <w:rFonts w:cs="Arial"/>
        </w:rPr>
      </w:pPr>
      <w:r>
        <w:rPr>
          <w:rFonts w:cs="Arial"/>
        </w:rPr>
        <w:t>The customer proxy</w:t>
      </w:r>
      <w:r w:rsidR="00662D32">
        <w:rPr>
          <w:rFonts w:cs="Arial"/>
        </w:rPr>
        <w:t xml:space="preserve"> </w:t>
      </w:r>
      <w:r>
        <w:rPr>
          <w:rFonts w:cs="Arial"/>
        </w:rPr>
        <w:t>needs to contain all data that is required by the DataHub proxy. Potential data might include:</w:t>
      </w:r>
    </w:p>
    <w:p w14:paraId="23C92A7E" w14:textId="5883B156" w:rsidR="001E0128" w:rsidRDefault="001E0128" w:rsidP="001E0128">
      <w:pPr>
        <w:pStyle w:val="ListParagraph"/>
        <w:numPr>
          <w:ilvl w:val="0"/>
          <w:numId w:val="17"/>
        </w:numPr>
        <w:rPr>
          <w:rFonts w:cs="Arial"/>
        </w:rPr>
      </w:pPr>
      <w:r w:rsidRPr="001E0128">
        <w:rPr>
          <w:rFonts w:cs="Arial"/>
          <w:b/>
        </w:rPr>
        <w:t>Query key</w:t>
      </w:r>
      <w:r>
        <w:rPr>
          <w:rFonts w:cs="Arial"/>
        </w:rPr>
        <w:t xml:space="preserve"> (which should only be known by the owner of the query and not made available to other groups)</w:t>
      </w:r>
    </w:p>
    <w:p w14:paraId="634D0B0A" w14:textId="1E880607" w:rsidR="009031FF" w:rsidRPr="009031FF" w:rsidRDefault="001E0128" w:rsidP="009031FF">
      <w:pPr>
        <w:pStyle w:val="ListParagraph"/>
        <w:numPr>
          <w:ilvl w:val="0"/>
          <w:numId w:val="17"/>
        </w:numPr>
        <w:rPr>
          <w:rFonts w:cs="Arial"/>
        </w:rPr>
      </w:pPr>
      <w:r>
        <w:rPr>
          <w:rFonts w:cs="Arial"/>
          <w:b/>
        </w:rPr>
        <w:t>Throttling limit</w:t>
      </w:r>
      <w:r>
        <w:rPr>
          <w:rFonts w:cs="Arial"/>
        </w:rPr>
        <w:t xml:space="preserve"> (optional</w:t>
      </w:r>
      <w:r w:rsidR="00C91E05">
        <w:rPr>
          <w:rFonts w:cs="Arial"/>
        </w:rPr>
        <w:t xml:space="preserve"> policy applied to customer proxy</w:t>
      </w:r>
      <w:r>
        <w:rPr>
          <w:rFonts w:cs="Arial"/>
        </w:rPr>
        <w:t>)</w:t>
      </w:r>
    </w:p>
    <w:p w14:paraId="58A65121" w14:textId="6F54DBD4" w:rsidR="0061137B" w:rsidRDefault="0061137B" w:rsidP="0061137B">
      <w:pPr>
        <w:spacing w:after="120" w:line="240" w:lineRule="auto"/>
        <w:rPr>
          <w:rFonts w:cs="Arial"/>
        </w:rPr>
      </w:pPr>
    </w:p>
    <w:p w14:paraId="25823FE9" w14:textId="005695CA" w:rsidR="009031FF" w:rsidRDefault="009031FF" w:rsidP="0061137B">
      <w:pPr>
        <w:spacing w:after="120" w:line="240" w:lineRule="auto"/>
        <w:rPr>
          <w:rFonts w:cs="Arial"/>
        </w:rPr>
      </w:pPr>
      <w:r w:rsidRPr="009031FF">
        <w:rPr>
          <w:rFonts w:cs="Arial"/>
          <w:b/>
        </w:rPr>
        <w:t>NOTE</w:t>
      </w:r>
      <w:r>
        <w:rPr>
          <w:rFonts w:cs="Arial"/>
        </w:rPr>
        <w:t xml:space="preserve">: </w:t>
      </w:r>
      <w:r w:rsidRPr="009031FF">
        <w:rPr>
          <w:rFonts w:cs="Arial"/>
        </w:rPr>
        <w:t>the customer proxy will contain a flow for each query.</w:t>
      </w:r>
    </w:p>
    <w:p w14:paraId="4C22CE23" w14:textId="6C29F098" w:rsidR="0061137B" w:rsidRDefault="0061137B" w:rsidP="0061137B">
      <w:pPr>
        <w:spacing w:after="120" w:line="240" w:lineRule="auto"/>
        <w:rPr>
          <w:rFonts w:cs="Arial"/>
        </w:rPr>
      </w:pPr>
      <w:r>
        <w:rPr>
          <w:rFonts w:cs="Arial"/>
        </w:rPr>
        <w:t>All predefined p</w:t>
      </w:r>
      <w:r w:rsidRPr="0061137B">
        <w:rPr>
          <w:rFonts w:cs="Arial"/>
        </w:rPr>
        <w:t>arameters will be passed as key/v</w:t>
      </w:r>
      <w:r>
        <w:rPr>
          <w:rFonts w:cs="Arial"/>
        </w:rPr>
        <w:t>alue pairs within an HTTPS GET with a specific format TBD.</w:t>
      </w:r>
    </w:p>
    <w:p w14:paraId="5B82CC2D" w14:textId="51B3B644" w:rsidR="0061137B" w:rsidRDefault="0061137B" w:rsidP="00067038">
      <w:pPr>
        <w:rPr>
          <w:rFonts w:cs="Arial"/>
        </w:rPr>
      </w:pPr>
      <w:r>
        <w:rPr>
          <w:rFonts w:cs="Arial"/>
        </w:rPr>
        <w:t>The DataHub proxy will pass its data into the core of DataHub, which is based i</w:t>
      </w:r>
      <w:r w:rsidR="00662D32">
        <w:rPr>
          <w:rFonts w:cs="Arial"/>
        </w:rPr>
        <w:t>n AWS, via the AWS</w:t>
      </w:r>
      <w:r>
        <w:rPr>
          <w:rFonts w:cs="Arial"/>
        </w:rPr>
        <w:t xml:space="preserve"> API Gateway. From there, a lambda function will </w:t>
      </w:r>
      <w:r w:rsidR="00C91E05">
        <w:rPr>
          <w:rFonts w:cs="Arial"/>
        </w:rPr>
        <w:t xml:space="preserve">use the key to </w:t>
      </w:r>
      <w:r>
        <w:rPr>
          <w:rFonts w:cs="Arial"/>
        </w:rPr>
        <w:t>select the appropriate SQL query stored in Dynamo DB.</w:t>
      </w:r>
    </w:p>
    <w:p w14:paraId="728B7BA9" w14:textId="4623B62F" w:rsidR="00F501C1" w:rsidRPr="00A2613F" w:rsidRDefault="00662D32" w:rsidP="00A2613F">
      <w:pPr>
        <w:rPr>
          <w:rFonts w:cs="Arial"/>
        </w:rPr>
      </w:pPr>
      <w:r>
        <w:rPr>
          <w:rFonts w:cs="Arial"/>
        </w:rPr>
        <w:t>In order for the SQL queries to run correctly, different relational database</w:t>
      </w:r>
      <w:r w:rsidR="00455897">
        <w:rPr>
          <w:rFonts w:cs="Arial"/>
        </w:rPr>
        <w:t>s</w:t>
      </w:r>
      <w:r>
        <w:rPr>
          <w:rFonts w:cs="Arial"/>
        </w:rPr>
        <w:t xml:space="preserve"> </w:t>
      </w:r>
      <w:r w:rsidR="00455897">
        <w:rPr>
          <w:rFonts w:cs="Arial"/>
        </w:rPr>
        <w:t>will require unique configurations</w:t>
      </w:r>
      <w:r>
        <w:rPr>
          <w:rFonts w:cs="Arial"/>
        </w:rPr>
        <w:t xml:space="preserve"> (Oracle, MySQL, etc.). DataHub will include </w:t>
      </w:r>
      <w:r w:rsidR="00455897">
        <w:rPr>
          <w:rFonts w:cs="Arial"/>
        </w:rPr>
        <w:t>the appropriate code for each supported environment type.</w:t>
      </w:r>
    </w:p>
    <w:p w14:paraId="6E2B5051" w14:textId="7237F9AC" w:rsidR="00067038" w:rsidRDefault="00454C4B" w:rsidP="0006703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Once the SQL query, the predefined parameters, and the code for the environment type have been compiled, the </w:t>
      </w:r>
      <w:r w:rsidR="00262B28">
        <w:rPr>
          <w:rFonts w:cs="Arial"/>
        </w:rPr>
        <w:t xml:space="preserve">query will run using a username specifically created for DataHub within the relational database. </w:t>
      </w:r>
    </w:p>
    <w:p w14:paraId="68723D56" w14:textId="5AAE1329" w:rsidR="00AE2361" w:rsidRDefault="00AE2361" w:rsidP="00067038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When the payload is returned, DataHub will convert from the SQL </w:t>
      </w:r>
      <w:r w:rsidR="00455897">
        <w:rPr>
          <w:rFonts w:cs="Arial"/>
        </w:rPr>
        <w:t>response</w:t>
      </w:r>
      <w:r>
        <w:rPr>
          <w:rFonts w:cs="Arial"/>
        </w:rPr>
        <w:t xml:space="preserve"> format into JSON and return the JSON </w:t>
      </w:r>
      <w:r w:rsidR="00455897">
        <w:rPr>
          <w:rFonts w:cs="Arial"/>
        </w:rPr>
        <w:t>response</w:t>
      </w:r>
      <w:r>
        <w:rPr>
          <w:rFonts w:cs="Arial"/>
        </w:rPr>
        <w:t xml:space="preserve"> back through the DataHub proxy and into the customer proxy (both via Apigee).</w:t>
      </w:r>
    </w:p>
    <w:p w14:paraId="54848711" w14:textId="00B3C3C4" w:rsidR="00AE2361" w:rsidRDefault="00AE2361" w:rsidP="00067038">
      <w:pPr>
        <w:spacing w:after="120" w:line="240" w:lineRule="auto"/>
        <w:rPr>
          <w:rFonts w:cs="Arial"/>
        </w:rPr>
      </w:pPr>
    </w:p>
    <w:p w14:paraId="25ACE7C2" w14:textId="77777777" w:rsidR="00AE2361" w:rsidRDefault="00AE2361" w:rsidP="00AE2361">
      <w:pPr>
        <w:rPr>
          <w:rFonts w:cs="Arial"/>
        </w:rPr>
      </w:pPr>
      <w:r w:rsidRPr="001E0128">
        <w:rPr>
          <w:rFonts w:cs="Arial"/>
          <w:b/>
        </w:rPr>
        <w:t>NOTE:</w:t>
      </w:r>
      <w:r>
        <w:rPr>
          <w:rFonts w:cs="Arial"/>
        </w:rPr>
        <w:t xml:space="preserve"> Because all customer proxies will run through Apigee, additional filters and sorts could be applied to the returned JSON results using Apigee functionality available to the customer proxy.</w:t>
      </w:r>
    </w:p>
    <w:p w14:paraId="0B69EB2E" w14:textId="77777777" w:rsidR="00AE2361" w:rsidRDefault="00AE2361" w:rsidP="00067038">
      <w:pPr>
        <w:spacing w:after="120" w:line="240" w:lineRule="auto"/>
        <w:rPr>
          <w:rFonts w:cs="Arial"/>
        </w:rPr>
      </w:pPr>
    </w:p>
    <w:p w14:paraId="5883B932" w14:textId="59662360" w:rsidR="00A2613F" w:rsidRDefault="00A2613F">
      <w:r>
        <w:br w:type="page"/>
      </w:r>
    </w:p>
    <w:p w14:paraId="3E67F5E3" w14:textId="77777777" w:rsidR="00A2613F" w:rsidRDefault="00A2613F" w:rsidP="00926AA6"/>
    <w:p w14:paraId="6C50D625" w14:textId="4D12AD63" w:rsidR="001914EC" w:rsidRPr="001A3C46" w:rsidRDefault="001914EC" w:rsidP="001914EC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3" w:name="_Toc18914101"/>
      <w:r>
        <w:rPr>
          <w:color w:val="FFFFFF" w:themeColor="background1"/>
          <w:sz w:val="32"/>
        </w:rPr>
        <w:t>Security and Access</w:t>
      </w:r>
      <w:bookmarkEnd w:id="3"/>
    </w:p>
    <w:p w14:paraId="74344884" w14:textId="77777777" w:rsidR="001914EC" w:rsidRDefault="001914EC" w:rsidP="001914EC">
      <w:pPr>
        <w:rPr>
          <w:rFonts w:cs="Arial"/>
        </w:rPr>
      </w:pPr>
    </w:p>
    <w:p w14:paraId="6070D930" w14:textId="0E813494" w:rsidR="00443F85" w:rsidRDefault="00A83753" w:rsidP="001914E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For </w:t>
      </w:r>
      <w:r w:rsidR="00A37980" w:rsidRPr="00116AA5">
        <w:rPr>
          <w:rFonts w:cs="Arial"/>
          <w:b/>
        </w:rPr>
        <w:t>DataHub V1</w:t>
      </w:r>
      <w:r w:rsidR="00A37980">
        <w:rPr>
          <w:rFonts w:cs="Arial"/>
        </w:rPr>
        <w:t xml:space="preserve">, </w:t>
      </w:r>
      <w:r w:rsidR="00443F85">
        <w:rPr>
          <w:rFonts w:cs="Arial"/>
        </w:rPr>
        <w:t>two keys will be used. One key will be included in the customer proxy that is used to gain access to the endpoint for each query.</w:t>
      </w:r>
      <w:r w:rsidR="00443F85" w:rsidRPr="00443F85">
        <w:rPr>
          <w:rFonts w:cs="Arial"/>
        </w:rPr>
        <w:t xml:space="preserve"> </w:t>
      </w:r>
      <w:r w:rsidR="00443F85">
        <w:rPr>
          <w:rFonts w:cs="Arial"/>
        </w:rPr>
        <w:t>A second API key will be used between the DataHub proxy and the API Gateway so that only requests coming from Apigee can access the initial lambda function.</w:t>
      </w:r>
    </w:p>
    <w:p w14:paraId="2650ECF8" w14:textId="27CDE2A5" w:rsidR="00FB2EF6" w:rsidRDefault="00443F85" w:rsidP="001914EC">
      <w:pPr>
        <w:spacing w:after="120" w:line="240" w:lineRule="auto"/>
        <w:rPr>
          <w:rFonts w:cs="Arial"/>
        </w:rPr>
      </w:pPr>
      <w:r>
        <w:rPr>
          <w:rFonts w:cs="Arial"/>
        </w:rPr>
        <w:t>S</w:t>
      </w:r>
      <w:r w:rsidR="00A37980">
        <w:rPr>
          <w:rFonts w:cs="Arial"/>
        </w:rPr>
        <w:t xml:space="preserve">ecurity and access will be </w:t>
      </w:r>
      <w:r w:rsidR="00743A29">
        <w:rPr>
          <w:rFonts w:cs="Arial"/>
        </w:rPr>
        <w:t xml:space="preserve">controlled per endpoint within Apigee using </w:t>
      </w:r>
      <w:r w:rsidR="00A83753">
        <w:rPr>
          <w:rFonts w:cs="Arial"/>
        </w:rPr>
        <w:t>only API keys, allowing</w:t>
      </w:r>
      <w:r w:rsidR="00743A29">
        <w:rPr>
          <w:rFonts w:cs="Arial"/>
        </w:rPr>
        <w:t xml:space="preserve"> generic access to the endpoint and whatever data that </w:t>
      </w:r>
      <w:r w:rsidR="00A83753">
        <w:rPr>
          <w:rFonts w:cs="Arial"/>
        </w:rPr>
        <w:t>endpoint returns</w:t>
      </w:r>
      <w:r w:rsidR="00743A29">
        <w:rPr>
          <w:rFonts w:cs="Arial"/>
        </w:rPr>
        <w:t xml:space="preserve">. </w:t>
      </w:r>
      <w:r w:rsidR="00FA5D71">
        <w:rPr>
          <w:rFonts w:cs="Arial"/>
        </w:rPr>
        <w:t>(</w:t>
      </w:r>
      <w:r w:rsidR="00A83753">
        <w:rPr>
          <w:rFonts w:cs="Arial"/>
        </w:rPr>
        <w:t>If you have the key, you get the</w:t>
      </w:r>
      <w:r w:rsidR="00FB2EF6">
        <w:rPr>
          <w:rFonts w:cs="Arial"/>
        </w:rPr>
        <w:t xml:space="preserve"> full</w:t>
      </w:r>
      <w:r w:rsidR="00A83753">
        <w:rPr>
          <w:rFonts w:cs="Arial"/>
        </w:rPr>
        <w:t xml:space="preserve"> data</w:t>
      </w:r>
      <w:r w:rsidR="00FB2EF6">
        <w:rPr>
          <w:rFonts w:cs="Arial"/>
        </w:rPr>
        <w:t xml:space="preserve"> set that is returned</w:t>
      </w:r>
      <w:r w:rsidR="00A83753">
        <w:rPr>
          <w:rFonts w:cs="Arial"/>
        </w:rPr>
        <w:t>.</w:t>
      </w:r>
      <w:r w:rsidR="00FA5D71">
        <w:rPr>
          <w:rFonts w:cs="Arial"/>
        </w:rPr>
        <w:t xml:space="preserve">) </w:t>
      </w:r>
    </w:p>
    <w:p w14:paraId="6C0D1FCB" w14:textId="77777777" w:rsidR="00443F85" w:rsidRDefault="00443F85" w:rsidP="001914EC">
      <w:pPr>
        <w:spacing w:after="120" w:line="240" w:lineRule="auto"/>
        <w:rPr>
          <w:rFonts w:cs="Arial"/>
        </w:rPr>
      </w:pPr>
    </w:p>
    <w:p w14:paraId="660D6CA9" w14:textId="3358F920" w:rsidR="00443F85" w:rsidRDefault="00A83753" w:rsidP="001914EC">
      <w:pPr>
        <w:spacing w:after="120" w:line="240" w:lineRule="auto"/>
        <w:rPr>
          <w:rFonts w:cs="Arial"/>
        </w:rPr>
      </w:pPr>
      <w:r w:rsidRPr="00A83753">
        <w:rPr>
          <w:rFonts w:cs="Arial"/>
          <w:b/>
        </w:rPr>
        <w:t>NOTE:</w:t>
      </w:r>
      <w:r>
        <w:rPr>
          <w:rFonts w:cs="Arial"/>
        </w:rPr>
        <w:t xml:space="preserve"> </w:t>
      </w:r>
      <w:r w:rsidR="00443F85">
        <w:rPr>
          <w:rFonts w:cs="Arial"/>
        </w:rPr>
        <w:t xml:space="preserve">The results can be filtered by the application calling for the data, but DataHub will not filter the data before returning it via the endpoint. </w:t>
      </w:r>
      <w:r>
        <w:rPr>
          <w:rFonts w:cs="Arial"/>
        </w:rPr>
        <w:t xml:space="preserve">In the future, parameter-based permissions could be added so the returned data is limited to the data allowed by the permission. </w:t>
      </w:r>
    </w:p>
    <w:p w14:paraId="092D9AE9" w14:textId="3E13CBF7" w:rsidR="00EC4175" w:rsidRDefault="00E17C2F" w:rsidP="001914EC">
      <w:pPr>
        <w:spacing w:after="120" w:line="240" w:lineRule="auto"/>
        <w:rPr>
          <w:rFonts w:cs="Arial"/>
        </w:rPr>
      </w:pPr>
      <w:r w:rsidRPr="00443F85">
        <w:rPr>
          <w:rFonts w:cs="Arial"/>
          <w:b/>
        </w:rPr>
        <w:t>NOTE:</w:t>
      </w:r>
      <w:r>
        <w:rPr>
          <w:rFonts w:cs="Arial"/>
        </w:rPr>
        <w:t xml:space="preserve"> DataHub is not responsible for data governance approval; groups</w:t>
      </w:r>
      <w:r w:rsidR="00DA5D5F">
        <w:rPr>
          <w:rFonts w:cs="Arial"/>
        </w:rPr>
        <w:t xml:space="preserve"> who will consume the data</w:t>
      </w:r>
      <w:r>
        <w:rPr>
          <w:rFonts w:cs="Arial"/>
        </w:rPr>
        <w:t xml:space="preserve"> </w:t>
      </w:r>
      <w:r w:rsidR="00DA5D5F">
        <w:rPr>
          <w:rFonts w:cs="Arial"/>
        </w:rPr>
        <w:t>from a</w:t>
      </w:r>
      <w:r>
        <w:rPr>
          <w:rFonts w:cs="Arial"/>
        </w:rPr>
        <w:t xml:space="preserve"> relational databases via DataHub must gain approval from the appropriate data steward</w:t>
      </w:r>
      <w:r w:rsidR="00DA5D5F">
        <w:rPr>
          <w:rFonts w:cs="Arial"/>
        </w:rPr>
        <w:t xml:space="preserve"> as part of the Apigee consumer-request process</w:t>
      </w:r>
      <w:r>
        <w:rPr>
          <w:rFonts w:cs="Arial"/>
        </w:rPr>
        <w:t xml:space="preserve"> before making a request to configure a query.</w:t>
      </w:r>
    </w:p>
    <w:p w14:paraId="761FD9BD" w14:textId="77777777" w:rsidR="00443F85" w:rsidRDefault="00443F85" w:rsidP="00443F85">
      <w:pPr>
        <w:spacing w:after="120" w:line="240" w:lineRule="auto"/>
        <w:rPr>
          <w:rFonts w:cs="Arial"/>
        </w:rPr>
      </w:pPr>
    </w:p>
    <w:p w14:paraId="5EBF0980" w14:textId="183B4BC8" w:rsidR="00443F85" w:rsidRPr="001A3C46" w:rsidRDefault="00443F85" w:rsidP="00443F85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4" w:name="_Toc18914102"/>
      <w:r>
        <w:rPr>
          <w:color w:val="FFFFFF" w:themeColor="background1"/>
          <w:sz w:val="32"/>
        </w:rPr>
        <w:t>DataHub Components</w:t>
      </w:r>
      <w:bookmarkEnd w:id="4"/>
    </w:p>
    <w:p w14:paraId="61DC6311" w14:textId="77777777" w:rsidR="00443F85" w:rsidRDefault="00443F85" w:rsidP="00443F85">
      <w:pPr>
        <w:rPr>
          <w:rFonts w:cs="Arial"/>
        </w:rPr>
      </w:pPr>
    </w:p>
    <w:p w14:paraId="530A7BA1" w14:textId="5BBE485E" w:rsidR="00443F85" w:rsidRDefault="00443F85" w:rsidP="00443F85">
      <w:pPr>
        <w:spacing w:after="120" w:line="240" w:lineRule="auto"/>
        <w:rPr>
          <w:rFonts w:cs="Arial"/>
        </w:rPr>
      </w:pPr>
      <w:r>
        <w:rPr>
          <w:rFonts w:cs="Arial"/>
        </w:rPr>
        <w:t>DataHub is comprised of six components:</w:t>
      </w:r>
    </w:p>
    <w:p w14:paraId="2DEB1B36" w14:textId="77777777" w:rsidR="00544B53" w:rsidRDefault="00544B53" w:rsidP="00443F85">
      <w:pPr>
        <w:spacing w:after="120" w:line="240" w:lineRule="auto"/>
        <w:rPr>
          <w:rFonts w:cs="Arial"/>
        </w:rPr>
      </w:pPr>
    </w:p>
    <w:p w14:paraId="6141D8E7" w14:textId="3DB8CA95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A5BA7">
        <w:rPr>
          <w:rFonts w:cs="Arial"/>
          <w:b/>
        </w:rPr>
        <w:t xml:space="preserve">Customer proxy API </w:t>
      </w:r>
      <w:r w:rsidRPr="005A5BA7">
        <w:rPr>
          <w:rFonts w:cs="Arial"/>
        </w:rPr>
        <w:t>within Apigee</w:t>
      </w:r>
      <w:r w:rsidR="005A5BA7">
        <w:rPr>
          <w:rFonts w:cs="Arial"/>
        </w:rPr>
        <w:t>, which is comprised of:</w:t>
      </w:r>
    </w:p>
    <w:p w14:paraId="4751D855" w14:textId="48D43E71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API key associated with specific query endpoint</w:t>
      </w:r>
    </w:p>
    <w:p w14:paraId="116C4FA4" w14:textId="094169AC" w:rsidR="005A5BA7" w:rsidRDefault="00A2613F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Predefined p</w:t>
      </w:r>
      <w:r w:rsidR="005A5BA7">
        <w:rPr>
          <w:rFonts w:cs="Arial"/>
        </w:rPr>
        <w:t>arameters for the SQL query (if needed)</w:t>
      </w:r>
    </w:p>
    <w:p w14:paraId="4B184A33" w14:textId="70818CAB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Acceptance header information (XML or JSON)</w:t>
      </w:r>
    </w:p>
    <w:p w14:paraId="34FE7236" w14:textId="1ABFE9F8" w:rsidR="00C51760" w:rsidRDefault="00C51760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Throttling limit (optional)</w:t>
      </w:r>
    </w:p>
    <w:p w14:paraId="099266B9" w14:textId="77777777" w:rsid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2318A73B" w14:textId="63A50EF6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A5BA7">
        <w:rPr>
          <w:rFonts w:cs="Arial"/>
          <w:b/>
        </w:rPr>
        <w:t>DataHub proxy API</w:t>
      </w:r>
      <w:r>
        <w:rPr>
          <w:rFonts w:cs="Arial"/>
        </w:rPr>
        <w:t xml:space="preserve"> within Apigee</w:t>
      </w:r>
      <w:r w:rsidR="005A5BA7">
        <w:rPr>
          <w:rFonts w:cs="Arial"/>
        </w:rPr>
        <w:t>, which is comprised of:</w:t>
      </w:r>
    </w:p>
    <w:p w14:paraId="4E3BDF7D" w14:textId="03372522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passed in from the customer proxy</w:t>
      </w:r>
    </w:p>
    <w:p w14:paraId="3E564361" w14:textId="19481392" w:rsidR="005A5BA7" w:rsidRDefault="00A2613F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Predefined p</w:t>
      </w:r>
      <w:r w:rsidR="005A5BA7">
        <w:rPr>
          <w:rFonts w:cs="Arial"/>
        </w:rPr>
        <w:t>arameters for the SQL query, passed in from the customer proxy</w:t>
      </w:r>
    </w:p>
    <w:p w14:paraId="244FD096" w14:textId="604C0187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API key to pass through the API Gateway</w:t>
      </w:r>
    </w:p>
    <w:p w14:paraId="5EE38091" w14:textId="3A4F45FA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Response JSON or XML</w:t>
      </w:r>
    </w:p>
    <w:p w14:paraId="0E3C61D0" w14:textId="77777777" w:rsid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36BEC854" w14:textId="2C1AB8F4" w:rsidR="00443F85" w:rsidRPr="005A5BA7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  <w:b/>
        </w:rPr>
      </w:pPr>
      <w:r w:rsidRPr="005A5BA7">
        <w:rPr>
          <w:rFonts w:cs="Arial"/>
          <w:b/>
        </w:rPr>
        <w:t>API Gateway configurations</w:t>
      </w:r>
    </w:p>
    <w:p w14:paraId="1FEE7124" w14:textId="5BEC1BF8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This will include a policy to restrict IP address that do not come from Apigee.</w:t>
      </w:r>
    </w:p>
    <w:p w14:paraId="0BF9E212" w14:textId="3E3A3CBE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The gateway will be a single endpoint for all traffic from the DataHub proxy.</w:t>
      </w:r>
    </w:p>
    <w:p w14:paraId="5B390D41" w14:textId="685D0DE7" w:rsid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A gateway endpoint will exist for each environment: DEV, QA, and PROD.</w:t>
      </w:r>
    </w:p>
    <w:p w14:paraId="1A9D379D" w14:textId="1A156DE7" w:rsidR="005A5BA7" w:rsidRPr="005A5BA7" w:rsidRDefault="005A5BA7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The gateway will check for the correct key coming in via the DataHub proxy.</w:t>
      </w:r>
    </w:p>
    <w:p w14:paraId="096B91CA" w14:textId="77777777" w:rsidR="005A5BA7" w:rsidRPr="005A5BA7" w:rsidRDefault="005A5BA7" w:rsidP="005A5BA7">
      <w:pPr>
        <w:pStyle w:val="ListParagraph"/>
        <w:spacing w:after="120" w:line="240" w:lineRule="auto"/>
        <w:ind w:left="1440"/>
        <w:rPr>
          <w:rFonts w:cs="Arial"/>
        </w:rPr>
      </w:pPr>
    </w:p>
    <w:p w14:paraId="3B2C4575" w14:textId="2FE6F022" w:rsidR="005A5BA7" w:rsidRPr="00544B53" w:rsidRDefault="00443F85" w:rsidP="00544B53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  <w:b/>
        </w:rPr>
      </w:pPr>
      <w:r w:rsidRPr="00544B53">
        <w:rPr>
          <w:rFonts w:cs="Arial"/>
          <w:b/>
        </w:rPr>
        <w:lastRenderedPageBreak/>
        <w:t>Lambda function</w:t>
      </w:r>
      <w:r w:rsidR="00544B53">
        <w:rPr>
          <w:rFonts w:cs="Arial"/>
          <w:b/>
        </w:rPr>
        <w:t xml:space="preserve">, </w:t>
      </w:r>
      <w:r w:rsidR="00544B53">
        <w:rPr>
          <w:rFonts w:cs="Arial"/>
        </w:rPr>
        <w:t>c</w:t>
      </w:r>
      <w:r w:rsidR="005A5BA7" w:rsidRPr="00544B53">
        <w:rPr>
          <w:rFonts w:cs="Arial"/>
        </w:rPr>
        <w:t>urrently one function (this could change during</w:t>
      </w:r>
      <w:r w:rsidR="00B510D5">
        <w:rPr>
          <w:rFonts w:cs="Arial"/>
        </w:rPr>
        <w:t xml:space="preserve"> future</w:t>
      </w:r>
      <w:r w:rsidR="005A5BA7" w:rsidRPr="00544B53">
        <w:rPr>
          <w:rFonts w:cs="Arial"/>
        </w:rPr>
        <w:t xml:space="preserve"> development cycle</w:t>
      </w:r>
      <w:r w:rsidR="00B510D5">
        <w:rPr>
          <w:rFonts w:cs="Arial"/>
        </w:rPr>
        <w:t>s</w:t>
      </w:r>
      <w:r w:rsidR="005A5BA7" w:rsidRPr="00544B53">
        <w:rPr>
          <w:rFonts w:cs="Arial"/>
        </w:rPr>
        <w:t>)</w:t>
      </w:r>
      <w:r w:rsidR="00544B53">
        <w:rPr>
          <w:rFonts w:cs="Arial"/>
        </w:rPr>
        <w:t xml:space="preserve"> which includes the following sections:</w:t>
      </w:r>
    </w:p>
    <w:p w14:paraId="01E6BFE3" w14:textId="62E52D53" w:rsidR="005A5BA7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Using the 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look up the correct SQL query in the Dynamo DB tables</w:t>
      </w:r>
    </w:p>
    <w:p w14:paraId="3C12965C" w14:textId="04C14A05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Compile the static SQL (from DB tables), the</w:t>
      </w:r>
      <w:r w:rsidR="00A2613F">
        <w:rPr>
          <w:rFonts w:cs="Arial"/>
        </w:rPr>
        <w:t xml:space="preserve"> predefined</w:t>
      </w:r>
      <w:r>
        <w:rPr>
          <w:rFonts w:cs="Arial"/>
        </w:rPr>
        <w:t xml:space="preserve"> parameters (passed in via customer proxy), and the environment code (included in the lambda code)</w:t>
      </w:r>
    </w:p>
    <w:p w14:paraId="2A27E8BB" w14:textId="452004E7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Execute the resulting SQL query</w:t>
      </w:r>
    </w:p>
    <w:p w14:paraId="7868E097" w14:textId="30B38065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Convert the SQL results into JSON</w:t>
      </w:r>
    </w:p>
    <w:p w14:paraId="71518106" w14:textId="4B969218" w:rsidR="00544B53" w:rsidRDefault="00544B53" w:rsidP="005A5BA7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Return the JSON results to Apigee (JSON results will all use string data types)</w:t>
      </w:r>
    </w:p>
    <w:p w14:paraId="56A1A3E7" w14:textId="77777777" w:rsidR="00544B53" w:rsidRDefault="00544B53" w:rsidP="00544B53">
      <w:pPr>
        <w:pStyle w:val="ListParagraph"/>
        <w:spacing w:after="120" w:line="240" w:lineRule="auto"/>
        <w:ind w:left="1440"/>
        <w:rPr>
          <w:rFonts w:cs="Arial"/>
        </w:rPr>
      </w:pPr>
    </w:p>
    <w:p w14:paraId="3FBFC1CC" w14:textId="00A6C246" w:rsidR="00544B53" w:rsidRDefault="00544B53" w:rsidP="00544B53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44B53">
        <w:rPr>
          <w:rFonts w:cs="Arial"/>
          <w:b/>
        </w:rPr>
        <w:t xml:space="preserve">Two </w:t>
      </w:r>
      <w:r w:rsidR="00443F85" w:rsidRPr="00544B53">
        <w:rPr>
          <w:rFonts w:cs="Arial"/>
          <w:b/>
        </w:rPr>
        <w:t>Dynamo DB tables</w:t>
      </w:r>
      <w:r>
        <w:rPr>
          <w:rFonts w:cs="Arial"/>
        </w:rPr>
        <w:t>:</w:t>
      </w:r>
    </w:p>
    <w:p w14:paraId="1877B04E" w14:textId="29CA69B1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 xml:space="preserve">Query table containing: API </w:t>
      </w:r>
      <w:r w:rsidR="00CA098E">
        <w:rPr>
          <w:rFonts w:cs="Arial"/>
        </w:rPr>
        <w:t xml:space="preserve">query </w:t>
      </w:r>
      <w:r>
        <w:rPr>
          <w:rFonts w:cs="Arial"/>
        </w:rPr>
        <w:t>key, SQL statement, connection ID</w:t>
      </w:r>
    </w:p>
    <w:p w14:paraId="09ECD512" w14:textId="1DA3B2C6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Connection table containing: connection ID, username, password, connection string, DB type, driver information</w:t>
      </w:r>
    </w:p>
    <w:p w14:paraId="2C0E0DE7" w14:textId="77777777" w:rsidR="00544B53" w:rsidRPr="00544B53" w:rsidRDefault="00544B53" w:rsidP="00544B53">
      <w:pPr>
        <w:pStyle w:val="ListParagraph"/>
        <w:spacing w:after="120" w:line="240" w:lineRule="auto"/>
        <w:ind w:left="1440"/>
        <w:rPr>
          <w:rFonts w:cs="Arial"/>
        </w:rPr>
      </w:pPr>
    </w:p>
    <w:p w14:paraId="756C2277" w14:textId="35799443" w:rsidR="00443F85" w:rsidRDefault="00443F85" w:rsidP="00443F85">
      <w:pPr>
        <w:pStyle w:val="ListParagraph"/>
        <w:numPr>
          <w:ilvl w:val="0"/>
          <w:numId w:val="18"/>
        </w:numPr>
        <w:spacing w:after="120" w:line="240" w:lineRule="auto"/>
        <w:rPr>
          <w:rFonts w:cs="Arial"/>
        </w:rPr>
      </w:pPr>
      <w:r w:rsidRPr="00544B53">
        <w:rPr>
          <w:rFonts w:cs="Arial"/>
          <w:b/>
        </w:rPr>
        <w:t>Jenkins pipeline</w:t>
      </w:r>
      <w:r w:rsidR="00544B53">
        <w:rPr>
          <w:rFonts w:cs="Arial"/>
        </w:rPr>
        <w:t xml:space="preserve"> for continuous deployment to three environments:</w:t>
      </w:r>
    </w:p>
    <w:p w14:paraId="0F2969F0" w14:textId="2142F2CB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Development (DEV)</w:t>
      </w:r>
    </w:p>
    <w:p w14:paraId="20692A7E" w14:textId="77A517FB" w:rsidR="00544B53" w:rsidRDefault="00544B53" w:rsidP="00544B53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Quality Assurance (QA)</w:t>
      </w:r>
    </w:p>
    <w:p w14:paraId="5B350833" w14:textId="2ADC7795" w:rsidR="00665C6E" w:rsidRDefault="00544B53" w:rsidP="00665C6E">
      <w:pPr>
        <w:pStyle w:val="ListParagraph"/>
        <w:numPr>
          <w:ilvl w:val="1"/>
          <w:numId w:val="18"/>
        </w:numPr>
        <w:spacing w:after="120" w:line="240" w:lineRule="auto"/>
        <w:rPr>
          <w:rFonts w:cs="Arial"/>
        </w:rPr>
      </w:pPr>
      <w:r>
        <w:rPr>
          <w:rFonts w:cs="Arial"/>
        </w:rPr>
        <w:t>Production (PROD)</w:t>
      </w:r>
    </w:p>
    <w:p w14:paraId="734A9663" w14:textId="77777777" w:rsidR="00665C6E" w:rsidRDefault="00665C6E" w:rsidP="00665C6E">
      <w:pPr>
        <w:spacing w:after="120" w:line="240" w:lineRule="auto"/>
        <w:rPr>
          <w:rFonts w:cs="Arial"/>
        </w:rPr>
      </w:pPr>
    </w:p>
    <w:p w14:paraId="35B127F4" w14:textId="77777777" w:rsidR="008C2A0E" w:rsidRDefault="008C2A0E">
      <w:pPr>
        <w:rPr>
          <w:rFonts w:eastAsiaTheme="majorEastAsia" w:cstheme="majorBidi"/>
          <w:b/>
          <w:color w:val="FFFFFF" w:themeColor="background1"/>
          <w:sz w:val="32"/>
          <w:szCs w:val="26"/>
        </w:rPr>
      </w:pPr>
      <w:r>
        <w:rPr>
          <w:color w:val="FFFFFF" w:themeColor="background1"/>
          <w:sz w:val="32"/>
        </w:rPr>
        <w:br w:type="page"/>
      </w:r>
    </w:p>
    <w:p w14:paraId="0F7847F5" w14:textId="3B0B25AD" w:rsidR="00665C6E" w:rsidRPr="001A3C46" w:rsidRDefault="00665C6E" w:rsidP="00665C6E">
      <w:pPr>
        <w:pStyle w:val="Heading2"/>
        <w:keepNext w:val="0"/>
        <w:keepLines w:val="0"/>
        <w:shd w:val="clear" w:color="auto" w:fill="4E2A96"/>
        <w:spacing w:before="240" w:after="60" w:line="400" w:lineRule="exact"/>
        <w:rPr>
          <w:color w:val="FFFFFF" w:themeColor="background1"/>
          <w:sz w:val="32"/>
        </w:rPr>
      </w:pPr>
      <w:bookmarkStart w:id="5" w:name="_Toc18914103"/>
      <w:r>
        <w:rPr>
          <w:color w:val="FFFFFF" w:themeColor="background1"/>
          <w:sz w:val="32"/>
        </w:rPr>
        <w:lastRenderedPageBreak/>
        <w:t>User Guidance for Requesting Developer</w:t>
      </w:r>
      <w:bookmarkEnd w:id="5"/>
    </w:p>
    <w:p w14:paraId="146D3C60" w14:textId="1F17A1CD" w:rsidR="00665C6E" w:rsidRDefault="00665C6E" w:rsidP="00665C6E">
      <w:pPr>
        <w:rPr>
          <w:rFonts w:cs="Arial"/>
        </w:rPr>
      </w:pPr>
    </w:p>
    <w:p w14:paraId="5E6619CF" w14:textId="310D70B9" w:rsidR="00647280" w:rsidRDefault="00665C6E" w:rsidP="00665C6E">
      <w:pPr>
        <w:rPr>
          <w:rFonts w:cs="Arial"/>
        </w:rPr>
      </w:pPr>
      <w:r>
        <w:rPr>
          <w:rFonts w:cs="Arial"/>
        </w:rPr>
        <w:t xml:space="preserve">This section is intended as a guide for the developer who is requesting to </w:t>
      </w:r>
      <w:r w:rsidR="00825882">
        <w:rPr>
          <w:rFonts w:cs="Arial"/>
        </w:rPr>
        <w:t>pass an API through DataHub.</w:t>
      </w:r>
    </w:p>
    <w:p w14:paraId="2BDD0E8A" w14:textId="77777777" w:rsidR="00647280" w:rsidRDefault="00647280" w:rsidP="00665C6E">
      <w:pPr>
        <w:rPr>
          <w:rFonts w:cs="Arial"/>
        </w:rPr>
      </w:pPr>
    </w:p>
    <w:p w14:paraId="1264D789" w14:textId="44B5884B" w:rsidR="004700DB" w:rsidRDefault="00825882" w:rsidP="00665C6E">
      <w:pPr>
        <w:rPr>
          <w:rFonts w:cs="Arial"/>
        </w:rPr>
      </w:pPr>
      <w:r>
        <w:rPr>
          <w:rFonts w:cs="Arial"/>
        </w:rPr>
        <w:t xml:space="preserve">There are </w:t>
      </w:r>
      <w:r w:rsidR="00A42360">
        <w:rPr>
          <w:rFonts w:cs="Arial"/>
        </w:rPr>
        <w:t>six</w:t>
      </w:r>
      <w:r>
        <w:rPr>
          <w:rFonts w:cs="Arial"/>
        </w:rPr>
        <w:t xml:space="preserve"> </w:t>
      </w:r>
      <w:r w:rsidR="00865E28">
        <w:rPr>
          <w:rFonts w:cs="Arial"/>
        </w:rPr>
        <w:t>overarching</w:t>
      </w:r>
      <w:r>
        <w:rPr>
          <w:rFonts w:cs="Arial"/>
        </w:rPr>
        <w:t xml:space="preserve"> </w:t>
      </w:r>
      <w:r w:rsidR="00865E28">
        <w:rPr>
          <w:rFonts w:cs="Arial"/>
        </w:rPr>
        <w:t>tasks</w:t>
      </w:r>
      <w:r w:rsidR="004700DB">
        <w:rPr>
          <w:rFonts w:cs="Arial"/>
        </w:rPr>
        <w:t xml:space="preserve"> for the requesting developer. The requesting developer will:</w:t>
      </w:r>
    </w:p>
    <w:p w14:paraId="53432AB7" w14:textId="12CB23A3" w:rsidR="00A42360" w:rsidRDefault="00A42360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Review database for possible issues.</w:t>
      </w:r>
    </w:p>
    <w:p w14:paraId="6C6EBF3B" w14:textId="42C67A00" w:rsidR="00825882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Create</w:t>
      </w:r>
      <w:r w:rsidR="00647280">
        <w:rPr>
          <w:rFonts w:cs="Arial"/>
        </w:rPr>
        <w:t xml:space="preserve"> an SQL query for the database where the data is stored.</w:t>
      </w:r>
    </w:p>
    <w:p w14:paraId="439E4EB2" w14:textId="24B2B155" w:rsidR="00647280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Create</w:t>
      </w:r>
      <w:r w:rsidR="00647280">
        <w:rPr>
          <w:rFonts w:cs="Arial"/>
        </w:rPr>
        <w:t xml:space="preserve"> a</w:t>
      </w:r>
      <w:r w:rsidR="00B510D5">
        <w:rPr>
          <w:rFonts w:cs="Arial"/>
        </w:rPr>
        <w:t xml:space="preserve"> customer proxy (if does not exist)</w:t>
      </w:r>
      <w:r w:rsidR="00647280">
        <w:rPr>
          <w:rFonts w:cs="Arial"/>
        </w:rPr>
        <w:t xml:space="preserve"> </w:t>
      </w:r>
      <w:r w:rsidR="00B510D5">
        <w:rPr>
          <w:rFonts w:cs="Arial"/>
        </w:rPr>
        <w:t xml:space="preserve">and </w:t>
      </w:r>
      <w:r w:rsidR="00647280">
        <w:rPr>
          <w:rFonts w:cs="Arial"/>
        </w:rPr>
        <w:t>endpoint in Apigee.</w:t>
      </w:r>
    </w:p>
    <w:p w14:paraId="314D1CD7" w14:textId="7934FE0E" w:rsidR="00647280" w:rsidRDefault="004700DB" w:rsidP="00825882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Request</w:t>
      </w:r>
      <w:r w:rsidR="00647280">
        <w:rPr>
          <w:rFonts w:cs="Arial"/>
        </w:rPr>
        <w:t xml:space="preserve"> a DataHub entry be created by the ADO team.</w:t>
      </w:r>
    </w:p>
    <w:p w14:paraId="0A154BF0" w14:textId="2CD6E7A5" w:rsidR="00647280" w:rsidRDefault="004700DB" w:rsidP="0064728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Receive</w:t>
      </w:r>
      <w:r w:rsidR="00647280">
        <w:rPr>
          <w:rFonts w:cs="Arial"/>
        </w:rPr>
        <w:t xml:space="preserve"> the API key from the ADO team to run the API.</w:t>
      </w:r>
    </w:p>
    <w:p w14:paraId="77848484" w14:textId="143F8F12" w:rsidR="004700DB" w:rsidRPr="00647280" w:rsidRDefault="004700DB" w:rsidP="00647280">
      <w:pPr>
        <w:pStyle w:val="ListParagraph"/>
        <w:numPr>
          <w:ilvl w:val="0"/>
          <w:numId w:val="29"/>
        </w:numPr>
        <w:rPr>
          <w:rFonts w:cs="Arial"/>
        </w:rPr>
      </w:pPr>
      <w:r>
        <w:rPr>
          <w:rFonts w:cs="Arial"/>
        </w:rPr>
        <w:t>Test the return response.</w:t>
      </w:r>
    </w:p>
    <w:p w14:paraId="49C0C54F" w14:textId="77777777" w:rsidR="00647280" w:rsidRDefault="00647280" w:rsidP="00647280"/>
    <w:p w14:paraId="1C61E512" w14:textId="1CE4435F" w:rsidR="00647280" w:rsidRDefault="00A42360" w:rsidP="00A42360">
      <w:pPr>
        <w:pStyle w:val="Heading3"/>
      </w:pPr>
      <w:bookmarkStart w:id="6" w:name="_Toc18914104"/>
      <w:r>
        <w:t>Guidelines for Database Review</w:t>
      </w:r>
      <w:bookmarkEnd w:id="6"/>
    </w:p>
    <w:p w14:paraId="054FFB00" w14:textId="77777777" w:rsidR="00647280" w:rsidRDefault="00647280" w:rsidP="00647280"/>
    <w:p w14:paraId="36C3BBA3" w14:textId="77777777" w:rsidR="00647280" w:rsidRPr="00A42360" w:rsidRDefault="00647280" w:rsidP="00A42360">
      <w:pPr>
        <w:pStyle w:val="Heading4"/>
      </w:pPr>
      <w:r w:rsidRPr="00A42360">
        <w:t xml:space="preserve">Supported Target Databases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647280" w14:paraId="6885413D" w14:textId="77777777" w:rsidTr="00647280">
        <w:trPr>
          <w:trHeight w:val="277"/>
        </w:trPr>
        <w:tc>
          <w:tcPr>
            <w:tcW w:w="3055" w:type="dxa"/>
          </w:tcPr>
          <w:p w14:paraId="0E0237DB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Database</w:t>
            </w:r>
          </w:p>
        </w:tc>
        <w:tc>
          <w:tcPr>
            <w:tcW w:w="3600" w:type="dxa"/>
          </w:tcPr>
          <w:p w14:paraId="062585A8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Supported Versions</w:t>
            </w:r>
          </w:p>
        </w:tc>
      </w:tr>
      <w:tr w:rsidR="00647280" w14:paraId="0A348DB9" w14:textId="77777777" w:rsidTr="00A629E6">
        <w:trPr>
          <w:trHeight w:val="323"/>
        </w:trPr>
        <w:tc>
          <w:tcPr>
            <w:tcW w:w="3055" w:type="dxa"/>
          </w:tcPr>
          <w:p w14:paraId="5B24BEBD" w14:textId="77777777" w:rsidR="00647280" w:rsidRDefault="00647280" w:rsidP="00647280">
            <w:r>
              <w:t>Oracle Database</w:t>
            </w:r>
          </w:p>
        </w:tc>
        <w:tc>
          <w:tcPr>
            <w:tcW w:w="3600" w:type="dxa"/>
          </w:tcPr>
          <w:p w14:paraId="2BB642FC" w14:textId="77777777" w:rsidR="00647280" w:rsidRDefault="00647280" w:rsidP="00647280">
            <w:r>
              <w:t>Oracle Database 10.2 or greater</w:t>
            </w:r>
          </w:p>
        </w:tc>
      </w:tr>
    </w:tbl>
    <w:p w14:paraId="1D2DB352" w14:textId="77777777" w:rsidR="00647280" w:rsidRDefault="00647280" w:rsidP="00647280"/>
    <w:p w14:paraId="7D4524B5" w14:textId="6DE47653" w:rsidR="00647280" w:rsidRPr="00647280" w:rsidRDefault="00647280" w:rsidP="00A42360">
      <w:pPr>
        <w:pStyle w:val="Heading4"/>
      </w:pPr>
      <w:r w:rsidRPr="00647280">
        <w:t xml:space="preserve">DataHub </w:t>
      </w: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600"/>
      </w:tblGrid>
      <w:tr w:rsidR="00647280" w14:paraId="7BFDF898" w14:textId="77777777" w:rsidTr="00647280">
        <w:tc>
          <w:tcPr>
            <w:tcW w:w="3055" w:type="dxa"/>
          </w:tcPr>
          <w:p w14:paraId="609E1E60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Resource</w:t>
            </w:r>
          </w:p>
        </w:tc>
        <w:tc>
          <w:tcPr>
            <w:tcW w:w="3600" w:type="dxa"/>
          </w:tcPr>
          <w:p w14:paraId="2D0034FF" w14:textId="77777777" w:rsidR="00647280" w:rsidRPr="00647280" w:rsidRDefault="00647280" w:rsidP="00647280">
            <w:pPr>
              <w:rPr>
                <w:b/>
              </w:rPr>
            </w:pPr>
            <w:r w:rsidRPr="00647280">
              <w:rPr>
                <w:b/>
              </w:rPr>
              <w:t>Limit</w:t>
            </w:r>
          </w:p>
        </w:tc>
      </w:tr>
      <w:tr w:rsidR="00647280" w14:paraId="17186D02" w14:textId="77777777" w:rsidTr="00647280">
        <w:tc>
          <w:tcPr>
            <w:tcW w:w="3055" w:type="dxa"/>
          </w:tcPr>
          <w:p w14:paraId="5936D6E1" w14:textId="77777777" w:rsidR="00647280" w:rsidRDefault="00647280" w:rsidP="00647280">
            <w:r>
              <w:t>Customer Request Timeout</w:t>
            </w:r>
          </w:p>
        </w:tc>
        <w:tc>
          <w:tcPr>
            <w:tcW w:w="3600" w:type="dxa"/>
          </w:tcPr>
          <w:p w14:paraId="27DE52BA" w14:textId="77777777" w:rsidR="00647280" w:rsidRDefault="00647280" w:rsidP="00647280">
            <w:r>
              <w:t>18 Seconds</w:t>
            </w:r>
          </w:p>
        </w:tc>
      </w:tr>
      <w:tr w:rsidR="00647280" w14:paraId="51BB2806" w14:textId="77777777" w:rsidTr="00647280">
        <w:tc>
          <w:tcPr>
            <w:tcW w:w="3055" w:type="dxa"/>
          </w:tcPr>
          <w:p w14:paraId="1F1AAB7D" w14:textId="77777777" w:rsidR="00647280" w:rsidRDefault="00647280" w:rsidP="00647280">
            <w:r>
              <w:t>Response Payload</w:t>
            </w:r>
          </w:p>
        </w:tc>
        <w:tc>
          <w:tcPr>
            <w:tcW w:w="3600" w:type="dxa"/>
          </w:tcPr>
          <w:p w14:paraId="5D319201" w14:textId="77777777" w:rsidR="00647280" w:rsidRDefault="00647280" w:rsidP="00647280">
            <w:r>
              <w:t>6MB</w:t>
            </w:r>
          </w:p>
        </w:tc>
      </w:tr>
      <w:tr w:rsidR="004305CF" w14:paraId="2C726758" w14:textId="77777777" w:rsidTr="00647280">
        <w:tc>
          <w:tcPr>
            <w:tcW w:w="3055" w:type="dxa"/>
          </w:tcPr>
          <w:p w14:paraId="70DF0E89" w14:textId="159D6D66" w:rsidR="004305CF" w:rsidRDefault="004305CF" w:rsidP="00647280">
            <w:r>
              <w:t>DB Access</w:t>
            </w:r>
          </w:p>
        </w:tc>
        <w:tc>
          <w:tcPr>
            <w:tcW w:w="3600" w:type="dxa"/>
          </w:tcPr>
          <w:p w14:paraId="383D8DB7" w14:textId="5030F4AD" w:rsidR="004305CF" w:rsidRDefault="004305CF" w:rsidP="00647280">
            <w:r>
              <w:t>Read only</w:t>
            </w:r>
          </w:p>
        </w:tc>
      </w:tr>
      <w:tr w:rsidR="009031FF" w14:paraId="160190F3" w14:textId="77777777" w:rsidTr="00647280">
        <w:tc>
          <w:tcPr>
            <w:tcW w:w="3055" w:type="dxa"/>
          </w:tcPr>
          <w:p w14:paraId="6EF77505" w14:textId="08D50010" w:rsidR="009031FF" w:rsidRDefault="009031FF" w:rsidP="00647280"/>
        </w:tc>
        <w:tc>
          <w:tcPr>
            <w:tcW w:w="3600" w:type="dxa"/>
          </w:tcPr>
          <w:p w14:paraId="26513F99" w14:textId="7452BE6D" w:rsidR="009031FF" w:rsidRDefault="009031FF" w:rsidP="00647280"/>
        </w:tc>
      </w:tr>
    </w:tbl>
    <w:p w14:paraId="13FB4B18" w14:textId="77777777" w:rsidR="00647280" w:rsidRDefault="00647280" w:rsidP="00647280"/>
    <w:p w14:paraId="023F2687" w14:textId="77777777" w:rsidR="006251BB" w:rsidRDefault="006251BB">
      <w:r>
        <w:br w:type="page"/>
      </w:r>
    </w:p>
    <w:p w14:paraId="58C8DEE6" w14:textId="6951CE99" w:rsidR="00A42360" w:rsidRDefault="009031FF" w:rsidP="00A42360">
      <w:r>
        <w:lastRenderedPageBreak/>
        <w:t>For Oracle databases, b</w:t>
      </w:r>
      <w:r w:rsidR="000B3C85">
        <w:t>e aware of the following:</w:t>
      </w:r>
    </w:p>
    <w:p w14:paraId="44FBC41F" w14:textId="77777777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Duplicate column names</w:t>
      </w:r>
      <w:r>
        <w:t xml:space="preserve">: If multiple columns have the same name, only the later column is returned. Use aliases or another strategy in your query to mitigate duplicate column names. </w:t>
      </w:r>
    </w:p>
    <w:p w14:paraId="099FB940" w14:textId="77777777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Empty/missing values</w:t>
      </w:r>
      <w:r>
        <w:t>: If a row does not specify a value for a column, it will appear as ‘null’ in the DataHub JSON object.</w:t>
      </w:r>
    </w:p>
    <w:p w14:paraId="4F927383" w14:textId="2FD12226" w:rsidR="000B3C85" w:rsidRDefault="000B3C85" w:rsidP="000B3C85">
      <w:pPr>
        <w:pStyle w:val="ListParagraph"/>
        <w:numPr>
          <w:ilvl w:val="0"/>
          <w:numId w:val="39"/>
        </w:numPr>
      </w:pPr>
      <w:r w:rsidRPr="000B3C85">
        <w:rPr>
          <w:b/>
        </w:rPr>
        <w:t>Date formats</w:t>
      </w:r>
      <w:r w:rsidR="006251BB">
        <w:t xml:space="preserve">: </w:t>
      </w:r>
    </w:p>
    <w:p w14:paraId="6C3CCC7C" w14:textId="77777777" w:rsidR="006251BB" w:rsidRDefault="006251BB" w:rsidP="006251BB">
      <w:pPr>
        <w:pStyle w:val="Heading4"/>
      </w:pPr>
      <w:r>
        <w:tab/>
        <w:t>The following database r</w:t>
      </w:r>
      <w:r w:rsidRPr="00234C38">
        <w:t>ow</w:t>
      </w:r>
      <w:r>
        <w:t xml:space="preserve"> …</w:t>
      </w:r>
    </w:p>
    <w:p w14:paraId="619735B9" w14:textId="37FF5CE8" w:rsidR="006251BB" w:rsidRPr="006251BB" w:rsidRDefault="006251BB" w:rsidP="006251BB"/>
    <w:tbl>
      <w:tblPr>
        <w:tblStyle w:val="TableGrid"/>
        <w:tblW w:w="0" w:type="auto"/>
        <w:tblInd w:w="967" w:type="dxa"/>
        <w:tblLook w:val="04A0" w:firstRow="1" w:lastRow="0" w:firstColumn="1" w:lastColumn="0" w:noHBand="0" w:noVBand="1"/>
      </w:tblPr>
      <w:tblGrid>
        <w:gridCol w:w="2007"/>
        <w:gridCol w:w="1750"/>
      </w:tblGrid>
      <w:tr w:rsidR="006251BB" w14:paraId="4C4E14E8" w14:textId="77777777" w:rsidTr="006251BB">
        <w:trPr>
          <w:trHeight w:val="322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9AF3" w14:textId="77777777" w:rsidR="006251BB" w:rsidRDefault="006251BB" w:rsidP="006251BB">
            <w:pPr>
              <w:ind w:left="360"/>
            </w:pPr>
            <w:r>
              <w:t>START_DATE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A3273" w14:textId="77777777" w:rsidR="006251BB" w:rsidRDefault="006251BB" w:rsidP="006251BB">
            <w:pPr>
              <w:ind w:left="360"/>
            </w:pPr>
            <w:r>
              <w:t>END_DATE</w:t>
            </w:r>
          </w:p>
        </w:tc>
      </w:tr>
      <w:tr w:rsidR="006251BB" w14:paraId="74B7561B" w14:textId="77777777" w:rsidTr="006251BB">
        <w:trPr>
          <w:trHeight w:val="233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BC9" w14:textId="77777777" w:rsidR="006251BB" w:rsidRPr="006251BB" w:rsidRDefault="006251BB" w:rsidP="006251BB">
            <w:pPr>
              <w:ind w:left="360"/>
              <w:rPr>
                <w:sz w:val="18"/>
                <w:szCs w:val="18"/>
              </w:rPr>
            </w:pPr>
            <w:r w:rsidRPr="006251BB">
              <w:rPr>
                <w:sz w:val="18"/>
                <w:szCs w:val="18"/>
              </w:rPr>
              <w:t>01-JAN-16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66041" w14:textId="77777777" w:rsidR="006251BB" w:rsidRPr="006251BB" w:rsidRDefault="006251BB" w:rsidP="006251BB">
            <w:pPr>
              <w:ind w:left="360"/>
              <w:rPr>
                <w:sz w:val="18"/>
                <w:szCs w:val="18"/>
              </w:rPr>
            </w:pPr>
            <w:r w:rsidRPr="006251BB">
              <w:rPr>
                <w:sz w:val="18"/>
                <w:szCs w:val="18"/>
              </w:rPr>
              <w:t>31-AUG-16</w:t>
            </w:r>
          </w:p>
        </w:tc>
      </w:tr>
    </w:tbl>
    <w:p w14:paraId="3AADC2F9" w14:textId="77777777" w:rsidR="006251BB" w:rsidRDefault="006251BB" w:rsidP="006251BB">
      <w:pPr>
        <w:pStyle w:val="Heading4"/>
        <w:ind w:left="720"/>
      </w:pPr>
    </w:p>
    <w:p w14:paraId="386F485D" w14:textId="2A90E75F" w:rsidR="006251BB" w:rsidRDefault="006251BB" w:rsidP="006251BB">
      <w:pPr>
        <w:pStyle w:val="Heading4"/>
        <w:ind w:left="720"/>
      </w:pPr>
      <w:r>
        <w:t>… w</w:t>
      </w:r>
      <w:r w:rsidRPr="00234C38">
        <w:t>ould return the following JSON from DataHub</w:t>
      </w:r>
      <w:r>
        <w:t>:</w:t>
      </w:r>
    </w:p>
    <w:p w14:paraId="1408F24B" w14:textId="77777777" w:rsidR="006251BB" w:rsidRPr="006251BB" w:rsidRDefault="006251BB" w:rsidP="006251BB"/>
    <w:p w14:paraId="1C0CA682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2C5C8B17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6251BB">
        <w:rPr>
          <w:rFonts w:ascii="Menlo" w:eastAsia="Times New Roman" w:hAnsi="Menlo" w:cs="Menlo"/>
          <w:color w:val="A31515"/>
          <w:sz w:val="15"/>
          <w:szCs w:val="15"/>
        </w:rPr>
        <w:t>"results"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[</w:t>
      </w:r>
    </w:p>
    <w:p w14:paraId="7550BE3B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    {</w:t>
      </w:r>
    </w:p>
    <w:p w14:paraId="359EC536" w14:textId="3106B598" w:rsidR="006251BB" w:rsidRPr="006251BB" w:rsidRDefault="006251BB" w:rsidP="006251BB">
      <w:pPr>
        <w:shd w:val="clear" w:color="auto" w:fill="FFFFFE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251BB">
        <w:rPr>
          <w:rFonts w:ascii="Menlo" w:eastAsia="Times New Roman" w:hAnsi="Menlo" w:cs="Menlo"/>
          <w:color w:val="A31515"/>
          <w:sz w:val="15"/>
          <w:szCs w:val="15"/>
        </w:rPr>
        <w:t>“START_DATE”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“</w:t>
      </w:r>
      <w:r w:rsidRPr="006251BB">
        <w:rPr>
          <w:rFonts w:ascii="Menlo" w:eastAsia="Times New Roman" w:hAnsi="Menlo" w:cs="Menlo"/>
          <w:color w:val="0451A5"/>
          <w:sz w:val="18"/>
          <w:szCs w:val="18"/>
        </w:rPr>
        <w:t>2016-01-01T00:00:00.000Z</w:t>
      </w:r>
      <w:r w:rsidRPr="006251BB">
        <w:rPr>
          <w:rFonts w:ascii="Menlo" w:eastAsia="Times New Roman" w:hAnsi="Menlo" w:cs="Menlo"/>
          <w:color w:val="0451A5"/>
          <w:sz w:val="15"/>
          <w:szCs w:val="15"/>
        </w:rPr>
        <w:t>”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7007220" w14:textId="77777777" w:rsidR="006251BB" w:rsidRPr="006251BB" w:rsidRDefault="006251BB" w:rsidP="006251BB">
      <w:pPr>
        <w:shd w:val="clear" w:color="auto" w:fill="FFFFFE"/>
        <w:spacing w:line="270" w:lineRule="atLeast"/>
        <w:ind w:left="720" w:firstLine="720"/>
        <w:rPr>
          <w:rFonts w:ascii="Menlo" w:eastAsia="Times New Roman" w:hAnsi="Menlo" w:cs="Menlo"/>
          <w:color w:val="000000"/>
          <w:sz w:val="18"/>
          <w:szCs w:val="18"/>
        </w:rPr>
      </w:pPr>
      <w:r w:rsidRPr="006251BB">
        <w:rPr>
          <w:rFonts w:ascii="Menlo" w:eastAsia="Times New Roman" w:hAnsi="Menlo" w:cs="Menlo"/>
          <w:color w:val="A31515"/>
          <w:sz w:val="15"/>
          <w:szCs w:val="15"/>
        </w:rPr>
        <w:t>"END_DATE"</w:t>
      </w:r>
      <w:r w:rsidRPr="006251BB">
        <w:rPr>
          <w:rFonts w:ascii="Menlo" w:eastAsia="Times New Roman" w:hAnsi="Menlo" w:cs="Menlo"/>
          <w:color w:val="000000"/>
          <w:sz w:val="15"/>
          <w:szCs w:val="15"/>
        </w:rPr>
        <w:t>: “</w:t>
      </w:r>
      <w:r w:rsidRPr="006251BB">
        <w:rPr>
          <w:rFonts w:ascii="Menlo" w:eastAsia="Times New Roman" w:hAnsi="Menlo" w:cs="Menlo"/>
          <w:color w:val="0451A5"/>
          <w:sz w:val="18"/>
          <w:szCs w:val="18"/>
        </w:rPr>
        <w:t>2016-08-31T00:00:00.000Z</w:t>
      </w:r>
      <w:r w:rsidRPr="006251BB">
        <w:rPr>
          <w:rFonts w:ascii="Menlo" w:eastAsia="Times New Roman" w:hAnsi="Menlo" w:cs="Menlo"/>
          <w:color w:val="000000"/>
          <w:sz w:val="18"/>
          <w:szCs w:val="18"/>
        </w:rPr>
        <w:t>”</w:t>
      </w:r>
    </w:p>
    <w:p w14:paraId="5726F05E" w14:textId="77777777" w:rsidR="006251BB" w:rsidRPr="006251BB" w:rsidRDefault="006251BB" w:rsidP="006251BB">
      <w:pPr>
        <w:shd w:val="clear" w:color="auto" w:fill="FFFFFE"/>
        <w:spacing w:line="270" w:lineRule="atLeast"/>
        <w:ind w:left="720" w:firstLine="36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0BE02F93" w14:textId="77777777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 xml:space="preserve">    ]</w:t>
      </w:r>
    </w:p>
    <w:p w14:paraId="5D5724DA" w14:textId="2DFD4B7C" w:rsidR="006251BB" w:rsidRPr="006251BB" w:rsidRDefault="006251BB" w:rsidP="006251BB">
      <w:pPr>
        <w:shd w:val="clear" w:color="auto" w:fill="FFFFFE"/>
        <w:spacing w:line="270" w:lineRule="atLeast"/>
        <w:ind w:left="720"/>
        <w:rPr>
          <w:rFonts w:ascii="Menlo" w:eastAsia="Times New Roman" w:hAnsi="Menlo" w:cs="Menlo"/>
          <w:color w:val="000000"/>
          <w:sz w:val="15"/>
          <w:szCs w:val="15"/>
        </w:rPr>
      </w:pPr>
      <w:r w:rsidRPr="006251BB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619E32F5" w14:textId="64537BC2" w:rsidR="006251BB" w:rsidRDefault="006251BB">
      <w:r>
        <w:br w:type="page"/>
      </w:r>
    </w:p>
    <w:p w14:paraId="71BFA2BB" w14:textId="77777777" w:rsidR="006251BB" w:rsidRDefault="006251BB" w:rsidP="006251BB"/>
    <w:p w14:paraId="2BF42F3B" w14:textId="5BC14263" w:rsidR="000B3C85" w:rsidRDefault="000B3C85" w:rsidP="006251BB">
      <w:pPr>
        <w:pStyle w:val="ListParagraph"/>
        <w:numPr>
          <w:ilvl w:val="0"/>
          <w:numId w:val="39"/>
        </w:numPr>
      </w:pPr>
      <w:r w:rsidRPr="000B3C85">
        <w:rPr>
          <w:b/>
        </w:rPr>
        <w:t>Large-Object (LOB) Columns</w:t>
      </w:r>
      <w:r>
        <w:t>:  (e.g. XML Forms) Newline characters \n and carriage returns \r will be substituted in the json response. Quotations will be escaped with a \ in the json response.</w:t>
      </w:r>
    </w:p>
    <w:p w14:paraId="01F2140F" w14:textId="2AB8782A" w:rsidR="00234C38" w:rsidRDefault="00234C38" w:rsidP="00A42360">
      <w:pPr>
        <w:rPr>
          <w:b/>
        </w:rPr>
      </w:pPr>
      <w:r w:rsidRPr="00234C38">
        <w:rPr>
          <w:b/>
        </w:rPr>
        <w:t>Example</w:t>
      </w:r>
      <w:r>
        <w:rPr>
          <w:b/>
        </w:rPr>
        <w:t>: LOB with Newline Characters, Carriage Returns, and Quotations</w:t>
      </w:r>
    </w:p>
    <w:p w14:paraId="2AE7A86D" w14:textId="56BAC18E" w:rsidR="00A42360" w:rsidRDefault="00234C38" w:rsidP="00234C38">
      <w:pPr>
        <w:pStyle w:val="Heading4"/>
      </w:pPr>
      <w:r>
        <w:t>The following database r</w:t>
      </w:r>
      <w:r w:rsidR="00A42360" w:rsidRPr="00234C38">
        <w:t>ow</w:t>
      </w:r>
      <w:r>
        <w:t xml:space="preserve"> …</w:t>
      </w:r>
    </w:p>
    <w:p w14:paraId="55A03C8D" w14:textId="77777777" w:rsidR="00234C38" w:rsidRPr="00234C38" w:rsidRDefault="00234C38" w:rsidP="00234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34C38" w14:paraId="6D8CE7E2" w14:textId="77777777" w:rsidTr="00234C38">
        <w:tc>
          <w:tcPr>
            <w:tcW w:w="1885" w:type="dxa"/>
          </w:tcPr>
          <w:p w14:paraId="0657D61C" w14:textId="122373DD" w:rsidR="00234C38" w:rsidRDefault="00234C38" w:rsidP="00A42360">
            <w:r>
              <w:t>STUDENT_ID</w:t>
            </w:r>
          </w:p>
        </w:tc>
        <w:tc>
          <w:tcPr>
            <w:tcW w:w="7465" w:type="dxa"/>
          </w:tcPr>
          <w:p w14:paraId="55BBBAE9" w14:textId="77777777" w:rsidR="00234C38" w:rsidRDefault="00234C38" w:rsidP="00234C38">
            <w:r>
              <w:t>XMLFORM_01</w:t>
            </w:r>
          </w:p>
          <w:p w14:paraId="72BD91BD" w14:textId="77777777" w:rsidR="00234C38" w:rsidRDefault="00234C38" w:rsidP="00A42360"/>
        </w:tc>
      </w:tr>
      <w:tr w:rsidR="00234C38" w14:paraId="2FDEEBCB" w14:textId="77777777" w:rsidTr="00234C38">
        <w:tc>
          <w:tcPr>
            <w:tcW w:w="1885" w:type="dxa"/>
          </w:tcPr>
          <w:p w14:paraId="51A8BC6A" w14:textId="46ACDB7D" w:rsidR="00234C38" w:rsidRDefault="00234C38" w:rsidP="00A42360">
            <w:r>
              <w:t>xyz123</w:t>
            </w:r>
          </w:p>
        </w:tc>
        <w:tc>
          <w:tcPr>
            <w:tcW w:w="7465" w:type="dxa"/>
          </w:tcPr>
          <w:p w14:paraId="01595166" w14:textId="77777777" w:rsidR="00234C38" w:rsidRDefault="00234C38" w:rsidP="00234C38">
            <w:r>
              <w:t>&lt;Form01&gt;</w:t>
            </w:r>
          </w:p>
          <w:p w14:paraId="5A94567F" w14:textId="77777777" w:rsidR="00234C38" w:rsidRDefault="00234C38" w:rsidP="00234C38">
            <w:r>
              <w:t xml:space="preserve">  &lt;entry1&gt;</w:t>
            </w:r>
          </w:p>
          <w:p w14:paraId="07C738EF" w14:textId="77777777" w:rsidR="00234C38" w:rsidRDefault="00234C38" w:rsidP="00234C38">
            <w:r>
              <w:t xml:space="preserve">    &lt;section1&gt;</w:t>
            </w:r>
          </w:p>
          <w:p w14:paraId="00DFCBE5" w14:textId="77777777" w:rsidR="00234C38" w:rsidRDefault="00234C38" w:rsidP="00234C38">
            <w:r>
              <w:t xml:space="preserve">      &lt;question0&gt;000123&lt;/question0&gt;</w:t>
            </w:r>
          </w:p>
          <w:p w14:paraId="249DC3F8" w14:textId="77777777" w:rsidR="00234C38" w:rsidRDefault="00234C38" w:rsidP="00234C38">
            <w:r>
              <w:t xml:space="preserve">      &lt;question1&gt;</w:t>
            </w:r>
          </w:p>
          <w:p w14:paraId="5373C847" w14:textId="77777777" w:rsidR="00234C38" w:rsidRDefault="00234C38" w:rsidP="00234C38">
            <w:r>
              <w:t xml:space="preserve">        &lt;row id="1" guid="undefined" key-childname="johnsmith"&gt;</w:t>
            </w:r>
          </w:p>
          <w:p w14:paraId="1BD72034" w14:textId="77777777" w:rsidR="00234C38" w:rsidRDefault="00234C38" w:rsidP="00234C38">
            <w:r>
              <w:t xml:space="preserve">          &lt;question2&gt;northwestern&lt;/question2&gt;</w:t>
            </w:r>
          </w:p>
          <w:p w14:paraId="26FB22F0" w14:textId="77777777" w:rsidR="00234C38" w:rsidRDefault="00234C38" w:rsidP="00234C38">
            <w:r>
              <w:t xml:space="preserve">        &lt;/row&gt;</w:t>
            </w:r>
          </w:p>
          <w:p w14:paraId="0B7825EF" w14:textId="77777777" w:rsidR="00234C38" w:rsidRDefault="00234C38" w:rsidP="00234C38">
            <w:r>
              <w:t xml:space="preserve">      &lt;/question1&gt;</w:t>
            </w:r>
          </w:p>
          <w:p w14:paraId="1B540603" w14:textId="77777777" w:rsidR="00234C38" w:rsidRDefault="00234C38" w:rsidP="00234C38">
            <w:r>
              <w:t xml:space="preserve">    &lt;/section1&gt;</w:t>
            </w:r>
          </w:p>
          <w:p w14:paraId="01775FCF" w14:textId="77777777" w:rsidR="00234C38" w:rsidRDefault="00234C38" w:rsidP="00234C38">
            <w:r>
              <w:t xml:space="preserve">  &lt;/entry1&gt;</w:t>
            </w:r>
          </w:p>
          <w:p w14:paraId="5BA33CF3" w14:textId="77777777" w:rsidR="00234C38" w:rsidRDefault="00234C38" w:rsidP="00234C38">
            <w:r>
              <w:t>&lt;/Form01&gt;</w:t>
            </w:r>
          </w:p>
          <w:p w14:paraId="51511D53" w14:textId="77777777" w:rsidR="00234C38" w:rsidRDefault="00234C38" w:rsidP="00A42360"/>
        </w:tc>
      </w:tr>
    </w:tbl>
    <w:p w14:paraId="72FEBDAC" w14:textId="191031D2" w:rsidR="00234C38" w:rsidRDefault="00234C38" w:rsidP="00A42360"/>
    <w:p w14:paraId="2902B8B5" w14:textId="2BC3E692" w:rsidR="00A42360" w:rsidRDefault="00234C38" w:rsidP="00234C38">
      <w:pPr>
        <w:pStyle w:val="Heading4"/>
      </w:pPr>
      <w:r>
        <w:t>… w</w:t>
      </w:r>
      <w:r w:rsidRPr="00234C38">
        <w:t>ould return the following JSON from DataHub</w:t>
      </w:r>
      <w:r>
        <w:t>:</w:t>
      </w:r>
    </w:p>
    <w:p w14:paraId="15713A1F" w14:textId="77777777" w:rsidR="00234C38" w:rsidRPr="00234C38" w:rsidRDefault="00234C38" w:rsidP="00234C38"/>
    <w:p w14:paraId="6874B75E" w14:textId="77777777" w:rsidR="00A42360" w:rsidRDefault="00A42360" w:rsidP="00A42360">
      <w:r>
        <w:t>{</w:t>
      </w:r>
    </w:p>
    <w:p w14:paraId="60AB7327" w14:textId="77777777" w:rsidR="00A42360" w:rsidRDefault="00A42360" w:rsidP="00A42360">
      <w:r>
        <w:t xml:space="preserve">    "results": [</w:t>
      </w:r>
    </w:p>
    <w:p w14:paraId="2C6D8F7D" w14:textId="47AD363B" w:rsidR="00A42360" w:rsidRDefault="00A42360" w:rsidP="00A42360">
      <w:r>
        <w:t xml:space="preserve">        </w:t>
      </w:r>
      <w:r w:rsidR="00234C38">
        <w:tab/>
      </w:r>
      <w:r w:rsidR="00234C38">
        <w:tab/>
      </w:r>
      <w:r>
        <w:t>{</w:t>
      </w:r>
    </w:p>
    <w:p w14:paraId="02266C9B" w14:textId="77777777" w:rsidR="00A42360" w:rsidRDefault="00A42360" w:rsidP="00A42360">
      <w:r>
        <w:tab/>
      </w:r>
      <w:r>
        <w:tab/>
        <w:t>“STUDENT_ID”: “xyz123”,</w:t>
      </w:r>
    </w:p>
    <w:p w14:paraId="6CEE2578" w14:textId="25EB414B" w:rsidR="00A42360" w:rsidRDefault="00A42360" w:rsidP="00234C38">
      <w:pPr>
        <w:ind w:left="1440"/>
      </w:pPr>
      <w:r>
        <w:t>"XMLFORM_01": "&lt;Form01&gt;\r\n  &lt;entry1&gt;\r\n    &lt;section1&gt;\r\n      &lt;question0&gt;000123&lt;/question0&gt;\r\n      &lt;question1&gt;\r\n        &lt;row id=\"1\" guid=\"undefined\" key-childname=\"johnsmith\"&gt;\r\n          &lt;question2&gt;northwestern&lt;/question2&gt;\r\n          &lt;/row&gt;\r\n      &lt;/question1&gt;\r\n      &lt;/section1&gt;\r\n    &lt;/entry1&gt;\r\n&lt;/Form01&gt;"</w:t>
      </w:r>
    </w:p>
    <w:p w14:paraId="07206109" w14:textId="77777777" w:rsidR="00A42360" w:rsidRDefault="00A42360" w:rsidP="00234C38">
      <w:pPr>
        <w:ind w:left="720" w:firstLine="720"/>
      </w:pPr>
      <w:r>
        <w:t>}</w:t>
      </w:r>
    </w:p>
    <w:p w14:paraId="0037543D" w14:textId="260FE5B0" w:rsidR="00A42360" w:rsidRDefault="00A42360" w:rsidP="00A42360">
      <w:r>
        <w:t xml:space="preserve">    </w:t>
      </w:r>
      <w:r w:rsidR="00234C38">
        <w:tab/>
      </w:r>
      <w:r>
        <w:t>]</w:t>
      </w:r>
    </w:p>
    <w:p w14:paraId="2A7C9430" w14:textId="65A763F3" w:rsidR="00647280" w:rsidRDefault="00A42360" w:rsidP="00A42360">
      <w:r>
        <w:t>}</w:t>
      </w:r>
      <w:r w:rsidR="00647280">
        <w:br w:type="page"/>
      </w:r>
    </w:p>
    <w:p w14:paraId="14B36F33" w14:textId="3705ECA4" w:rsidR="00647280" w:rsidRPr="00647280" w:rsidRDefault="00647280" w:rsidP="00647280"/>
    <w:p w14:paraId="3E19290B" w14:textId="1E05506A" w:rsidR="00665C6E" w:rsidRDefault="00054B9B" w:rsidP="00C56ED4">
      <w:pPr>
        <w:pStyle w:val="Heading3"/>
      </w:pPr>
      <w:bookmarkStart w:id="7" w:name="_Toc18490831"/>
      <w:bookmarkStart w:id="8" w:name="_Toc18914105"/>
      <w:r>
        <w:t>Guidelines for C</w:t>
      </w:r>
      <w:r w:rsidR="00647280">
        <w:t xml:space="preserve">reating SQL </w:t>
      </w:r>
      <w:r w:rsidR="00665C6E" w:rsidRPr="009D4DC3">
        <w:t>Queries</w:t>
      </w:r>
      <w:bookmarkEnd w:id="7"/>
      <w:bookmarkEnd w:id="8"/>
    </w:p>
    <w:p w14:paraId="66485267" w14:textId="77777777" w:rsidR="00665C6E" w:rsidRPr="009D4DC3" w:rsidRDefault="00665C6E" w:rsidP="00665C6E">
      <w:pPr>
        <w:rPr>
          <w:b/>
        </w:rPr>
      </w:pPr>
    </w:p>
    <w:p w14:paraId="6772ED07" w14:textId="6DD2FA8D" w:rsidR="00A37C93" w:rsidRDefault="00665C6E" w:rsidP="00C56ED4">
      <w:pPr>
        <w:pStyle w:val="ListParagraph"/>
        <w:numPr>
          <w:ilvl w:val="0"/>
          <w:numId w:val="32"/>
        </w:numPr>
      </w:pPr>
      <w:r w:rsidRPr="00A37C93">
        <w:t>Do not put any sensitive data in the parameters</w:t>
      </w:r>
      <w:r w:rsidR="00054B9B">
        <w:t>.</w:t>
      </w:r>
    </w:p>
    <w:p w14:paraId="42BDB1B4" w14:textId="77777777" w:rsidR="00C56ED4" w:rsidRPr="00A37C93" w:rsidRDefault="00C56ED4" w:rsidP="00C56ED4">
      <w:pPr>
        <w:pStyle w:val="ListParagraph"/>
      </w:pPr>
    </w:p>
    <w:p w14:paraId="091DF5CC" w14:textId="33376C26" w:rsidR="00665C6E" w:rsidRPr="00A37C93" w:rsidRDefault="00665C6E" w:rsidP="00C56ED4">
      <w:pPr>
        <w:pStyle w:val="ListParagraph"/>
        <w:numPr>
          <w:ilvl w:val="0"/>
          <w:numId w:val="32"/>
        </w:numPr>
      </w:pPr>
      <w:r w:rsidRPr="00A37C93">
        <w:t>Denote parameters with a colon</w:t>
      </w:r>
      <w:r w:rsidR="00054B9B">
        <w:t>.</w:t>
      </w:r>
    </w:p>
    <w:p w14:paraId="5D6B51F9" w14:textId="77777777" w:rsidR="00665C6E" w:rsidRPr="00A37C93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e.g. </w:t>
      </w:r>
      <w:r w:rsidRPr="00C56ED4">
        <w:rPr>
          <w:color w:val="FF0000"/>
        </w:rPr>
        <w:t xml:space="preserve">SELECT * FROM people WHERE fname=:firstname </w:t>
      </w:r>
    </w:p>
    <w:p w14:paraId="7934A681" w14:textId="3DAD7B15" w:rsidR="00665C6E" w:rsidRDefault="00665C6E" w:rsidP="00C56ED4">
      <w:pPr>
        <w:pStyle w:val="ListParagraph"/>
        <w:numPr>
          <w:ilvl w:val="1"/>
          <w:numId w:val="32"/>
        </w:numPr>
      </w:pPr>
      <w:r w:rsidRPr="00A37C93">
        <w:t>specifies that a parameter will be supplied for the value of firstname</w:t>
      </w:r>
    </w:p>
    <w:p w14:paraId="1BFAC594" w14:textId="77777777" w:rsidR="00A37C93" w:rsidRPr="00A37C93" w:rsidRDefault="00A37C93" w:rsidP="00C56ED4"/>
    <w:p w14:paraId="76B9027C" w14:textId="02BA57BD" w:rsidR="00865E28" w:rsidRDefault="00665C6E" w:rsidP="00C56ED4">
      <w:pPr>
        <w:pStyle w:val="ListParagraph"/>
        <w:numPr>
          <w:ilvl w:val="0"/>
          <w:numId w:val="32"/>
        </w:numPr>
      </w:pPr>
      <w:r w:rsidRPr="00A37C93">
        <w:t>You can only parameterize the data values in the query (as opposed to the object names like the table, columns, etc.)</w:t>
      </w:r>
      <w:r w:rsidR="00865E28" w:rsidRPr="00A37C93">
        <w:t>.</w:t>
      </w:r>
    </w:p>
    <w:p w14:paraId="41C4A675" w14:textId="77777777" w:rsidR="00C56ED4" w:rsidRPr="00A37C93" w:rsidRDefault="00C56ED4" w:rsidP="00C56ED4">
      <w:pPr>
        <w:pStyle w:val="ListParagraph"/>
      </w:pPr>
    </w:p>
    <w:p w14:paraId="73E49606" w14:textId="5E5A9336" w:rsidR="00665C6E" w:rsidRPr="00A37C93" w:rsidRDefault="00865E28" w:rsidP="00C56ED4">
      <w:pPr>
        <w:pStyle w:val="ListParagraph"/>
        <w:numPr>
          <w:ilvl w:val="0"/>
          <w:numId w:val="32"/>
        </w:numPr>
      </w:pPr>
      <w:r w:rsidRPr="00A37C93">
        <w:t>In the example below, “people” is a table object name and “fname” is column object name.</w:t>
      </w:r>
    </w:p>
    <w:p w14:paraId="235C6B6D" w14:textId="77777777" w:rsidR="00665C6E" w:rsidRPr="00A37C93" w:rsidRDefault="00665C6E" w:rsidP="00C56ED4">
      <w:pPr>
        <w:pStyle w:val="ListParagraph"/>
        <w:numPr>
          <w:ilvl w:val="1"/>
          <w:numId w:val="32"/>
        </w:numPr>
      </w:pPr>
      <w:r w:rsidRPr="00A37C93">
        <w:t xml:space="preserve">Acceptable: </w:t>
      </w:r>
      <w:r w:rsidRPr="00C56ED4">
        <w:rPr>
          <w:color w:val="FF0000"/>
        </w:rPr>
        <w:t>SELECT * FROM people WHERE fname=:firstname</w:t>
      </w:r>
    </w:p>
    <w:p w14:paraId="2B920931" w14:textId="481B61A9" w:rsidR="00665C6E" w:rsidRPr="00C56ED4" w:rsidRDefault="00665C6E" w:rsidP="00C56ED4">
      <w:pPr>
        <w:pStyle w:val="ListParagraph"/>
        <w:numPr>
          <w:ilvl w:val="1"/>
          <w:numId w:val="32"/>
        </w:numPr>
        <w:rPr>
          <w:color w:val="FF0000"/>
        </w:rPr>
      </w:pPr>
      <w:r w:rsidRPr="00A37C93">
        <w:t>Not A</w:t>
      </w:r>
      <w:r w:rsidR="00865E28" w:rsidRPr="00A37C93">
        <w:t>llowed</w:t>
      </w:r>
      <w:r w:rsidRPr="00A37C93">
        <w:t xml:space="preserve">: </w:t>
      </w:r>
      <w:r w:rsidRPr="00C56ED4">
        <w:rPr>
          <w:color w:val="FF0000"/>
        </w:rPr>
        <w:t>SELECT * FROM :table_name</w:t>
      </w:r>
    </w:p>
    <w:p w14:paraId="1C77796A" w14:textId="77777777" w:rsidR="00665C6E" w:rsidRPr="00C56ED4" w:rsidRDefault="00665C6E" w:rsidP="00C56ED4">
      <w:pPr>
        <w:pStyle w:val="ListParagraph"/>
        <w:numPr>
          <w:ilvl w:val="1"/>
          <w:numId w:val="32"/>
        </w:numPr>
        <w:rPr>
          <w:color w:val="FF0000"/>
        </w:rPr>
      </w:pPr>
      <w:r w:rsidRPr="00A37C93">
        <w:t xml:space="preserve">Not Allowed: </w:t>
      </w:r>
      <w:r w:rsidRPr="00C56ED4">
        <w:rPr>
          <w:color w:val="FF0000"/>
        </w:rPr>
        <w:t>SELECT :fieldtoreturn FROM people</w:t>
      </w:r>
    </w:p>
    <w:p w14:paraId="5B108331" w14:textId="77777777" w:rsidR="008C2A0E" w:rsidRDefault="008C2A0E" w:rsidP="00A37C93">
      <w:pPr>
        <w:ind w:left="720"/>
      </w:pPr>
      <w:bookmarkStart w:id="9" w:name="_Toc18490832"/>
    </w:p>
    <w:p w14:paraId="0AC11599" w14:textId="30F7857C" w:rsidR="00665C6E" w:rsidRDefault="00A37C93" w:rsidP="00C56ED4">
      <w:pPr>
        <w:pStyle w:val="Heading3"/>
      </w:pPr>
      <w:bookmarkStart w:id="10" w:name="_Toc18914106"/>
      <w:r>
        <w:t>Guidelines for an Apigee/</w:t>
      </w:r>
      <w:r w:rsidR="00665C6E" w:rsidRPr="009D4DC3">
        <w:t>DataHub Request Format</w:t>
      </w:r>
      <w:bookmarkEnd w:id="9"/>
      <w:bookmarkEnd w:id="10"/>
    </w:p>
    <w:p w14:paraId="012A123F" w14:textId="53AEF130" w:rsidR="00DA5D5F" w:rsidRDefault="00DA5D5F" w:rsidP="00DA5D5F">
      <w:pPr>
        <w:rPr>
          <w:rFonts w:ascii="Calibri" w:hAnsi="Calibri"/>
          <w:b/>
        </w:rPr>
      </w:pPr>
    </w:p>
    <w:p w14:paraId="460AB4CE" w14:textId="77777777" w:rsidR="00DA5D5F" w:rsidRPr="002915E4" w:rsidRDefault="00DA5D5F" w:rsidP="00DA5D5F">
      <w:pPr>
        <w:pStyle w:val="Heading4"/>
      </w:pPr>
      <w:bookmarkStart w:id="11" w:name="_Toc18490843"/>
      <w:r w:rsidRPr="002915E4">
        <w:t>Prerequisites</w:t>
      </w:r>
      <w:bookmarkEnd w:id="11"/>
    </w:p>
    <w:p w14:paraId="23C72C57" w14:textId="1D03BA0C" w:rsidR="00DA5D5F" w:rsidRPr="00DA5D5F" w:rsidRDefault="00DA5D5F" w:rsidP="00DA5D5F">
      <w:pPr>
        <w:rPr>
          <w:rFonts w:cs="Arial"/>
        </w:rPr>
      </w:pPr>
      <w:r w:rsidRPr="00DA5D5F">
        <w:rPr>
          <w:rFonts w:cs="Arial"/>
        </w:rPr>
        <w:t>The requesting develop is responsible for completing the following before making a DataHub request:</w:t>
      </w:r>
    </w:p>
    <w:p w14:paraId="2AFCBAF5" w14:textId="36CD03D3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Create a new </w:t>
      </w:r>
      <w:r w:rsidRPr="00DA5D5F">
        <w:rPr>
          <w:rFonts w:eastAsia="Times New Roman" w:cs="Arial"/>
          <w:b/>
        </w:rPr>
        <w:t>read-only datahub user</w:t>
      </w:r>
      <w:r w:rsidRPr="00DA5D5F">
        <w:rPr>
          <w:rFonts w:eastAsia="Times New Roman" w:cs="Arial"/>
        </w:rPr>
        <w:t xml:space="preserve"> for t</w:t>
      </w:r>
      <w:r w:rsidR="00FC6525">
        <w:rPr>
          <w:rFonts w:eastAsia="Times New Roman" w:cs="Arial"/>
        </w:rPr>
        <w:t>he database.</w:t>
      </w:r>
    </w:p>
    <w:p w14:paraId="3C9D0911" w14:textId="77DE312F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Create an </w:t>
      </w:r>
      <w:r w:rsidRPr="00DA5D5F">
        <w:rPr>
          <w:rFonts w:eastAsia="Times New Roman" w:cs="Arial"/>
          <w:b/>
        </w:rPr>
        <w:t>Apigee Customer Proxy</w:t>
      </w:r>
      <w:r w:rsidR="00FC6525">
        <w:rPr>
          <w:rFonts w:eastAsia="Times New Roman" w:cs="Arial"/>
          <w:b/>
        </w:rPr>
        <w:t>.</w:t>
      </w:r>
      <w:r w:rsidR="00FC6525">
        <w:rPr>
          <w:rFonts w:eastAsia="Times New Roman" w:cs="Arial"/>
        </w:rPr>
        <w:t xml:space="preserve"> (S</w:t>
      </w:r>
      <w:r w:rsidRPr="00DA5D5F">
        <w:rPr>
          <w:rFonts w:eastAsia="Times New Roman" w:cs="Arial"/>
        </w:rPr>
        <w:t xml:space="preserve">ee </w:t>
      </w:r>
      <w:r w:rsidR="00FC6525">
        <w:rPr>
          <w:rFonts w:eastAsia="Times New Roman" w:cs="Arial"/>
        </w:rPr>
        <w:t>more instruction below.</w:t>
      </w:r>
      <w:r w:rsidRPr="00DA5D5F">
        <w:rPr>
          <w:rFonts w:eastAsia="Times New Roman" w:cs="Arial"/>
        </w:rPr>
        <w:t>)</w:t>
      </w:r>
    </w:p>
    <w:p w14:paraId="6F71B6A0" w14:textId="07AA01D8" w:rsidR="00DA5D5F" w:rsidRPr="00DA5D5F" w:rsidRDefault="00DA5D5F" w:rsidP="00DA5D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  <w:b/>
        </w:rPr>
        <w:t>Firewall Request</w:t>
      </w:r>
      <w:r w:rsidRPr="00DA5D5F">
        <w:rPr>
          <w:rFonts w:eastAsia="Times New Roman" w:cs="Arial"/>
        </w:rPr>
        <w:t xml:space="preserve"> for connecting to the database from DataHub</w:t>
      </w:r>
      <w:r w:rsidR="00FC6525">
        <w:rPr>
          <w:rFonts w:eastAsia="Times New Roman" w:cs="Arial"/>
        </w:rPr>
        <w:t>:</w:t>
      </w:r>
    </w:p>
    <w:p w14:paraId="78781614" w14:textId="77777777" w:rsidR="00DA5D5F" w:rsidRPr="00DA5D5F" w:rsidRDefault="00DA5D5F" w:rsidP="00DA5D5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Dev/Test: request access for source address </w:t>
      </w:r>
      <w:r w:rsidRPr="00DA5D5F">
        <w:rPr>
          <w:rFonts w:eastAsia="Times New Roman" w:cs="Arial"/>
          <w:b/>
        </w:rPr>
        <w:t>10.28.192.160/27</w:t>
      </w:r>
    </w:p>
    <w:p w14:paraId="31F3E425" w14:textId="77777777" w:rsidR="00DA5D5F" w:rsidRPr="00DA5D5F" w:rsidRDefault="00DA5D5F" w:rsidP="00DA5D5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Arial"/>
          <w:b/>
        </w:rPr>
      </w:pPr>
      <w:r w:rsidRPr="00DA5D5F">
        <w:rPr>
          <w:rFonts w:eastAsia="Times New Roman" w:cs="Arial"/>
        </w:rPr>
        <w:t xml:space="preserve">Prod: request access for source address </w:t>
      </w:r>
      <w:r w:rsidRPr="00DA5D5F">
        <w:rPr>
          <w:rFonts w:eastAsia="Times New Roman" w:cs="Arial"/>
          <w:b/>
        </w:rPr>
        <w:t>10.28.196.160/27</w:t>
      </w:r>
    </w:p>
    <w:p w14:paraId="6676C67C" w14:textId="3E33196F" w:rsidR="00FC6525" w:rsidRDefault="00FC6525" w:rsidP="00FC6525">
      <w:pPr>
        <w:pStyle w:val="Heading4"/>
      </w:pPr>
      <w:bookmarkStart w:id="12" w:name="_Toc18490844"/>
      <w:r>
        <w:t>DataHub Requests</w:t>
      </w:r>
    </w:p>
    <w:p w14:paraId="7484220D" w14:textId="56F7409E" w:rsidR="00DA5D5F" w:rsidRPr="00FC6525" w:rsidRDefault="00FC6525" w:rsidP="00DA5C0E">
      <w:r>
        <w:t>Once the steps above are complete, the requesting developer should supply the following to the DataHub t</w:t>
      </w:r>
      <w:r w:rsidR="00DA5D5F" w:rsidRPr="00FC6525">
        <w:t>eam</w:t>
      </w:r>
      <w:bookmarkEnd w:id="12"/>
      <w:r>
        <w:t>:</w:t>
      </w:r>
    </w:p>
    <w:p w14:paraId="0C1B38EC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Database Username</w:t>
      </w:r>
    </w:p>
    <w:p w14:paraId="0B63744E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Database Password</w:t>
      </w:r>
    </w:p>
    <w:p w14:paraId="01717B27" w14:textId="77777777" w:rsidR="00DA5D5F" w:rsidRPr="00DA5D5F" w:rsidRDefault="00DA5D5F" w:rsidP="00DA5D5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 xml:space="preserve">Database Connection String </w:t>
      </w:r>
    </w:p>
    <w:p w14:paraId="60F0D7AA" w14:textId="4ED03D7E" w:rsidR="00DA5D5F" w:rsidRPr="00FC6525" w:rsidRDefault="00DA5D5F" w:rsidP="00FC652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DA5D5F">
        <w:rPr>
          <w:rFonts w:eastAsia="Times New Roman" w:cs="Arial"/>
        </w:rPr>
        <w:t>Parameterized SQL query</w:t>
      </w:r>
      <w:r w:rsidR="00FC6525">
        <w:rPr>
          <w:rFonts w:eastAsia="Times New Roman" w:cs="Arial"/>
        </w:rPr>
        <w:t xml:space="preserve"> (</w:t>
      </w:r>
      <w:r w:rsidRPr="00FC6525">
        <w:rPr>
          <w:rFonts w:eastAsia="Times New Roman" w:cs="Arial"/>
        </w:rPr>
        <w:t xml:space="preserve">Provide a </w:t>
      </w:r>
      <w:r w:rsidRPr="00FC6525">
        <w:rPr>
          <w:rFonts w:eastAsia="Times New Roman" w:cs="Arial"/>
          <w:b/>
        </w:rPr>
        <w:t>single string</w:t>
      </w:r>
      <w:r w:rsidRPr="00FC6525">
        <w:rPr>
          <w:rFonts w:eastAsia="Times New Roman" w:cs="Arial"/>
        </w:rPr>
        <w:t xml:space="preserve">—i.e. </w:t>
      </w:r>
      <w:r w:rsidRPr="00FC6525">
        <w:rPr>
          <w:rFonts w:eastAsia="Times New Roman" w:cs="Arial"/>
          <w:i/>
        </w:rPr>
        <w:t>do not include newlines/carriage returns in the query unless you accept their replacement with \n \r  characters in the final query</w:t>
      </w:r>
      <w:r w:rsidR="00FC6525">
        <w:rPr>
          <w:rFonts w:eastAsia="Times New Roman" w:cs="Arial"/>
          <w:i/>
        </w:rPr>
        <w:t>)</w:t>
      </w:r>
    </w:p>
    <w:p w14:paraId="128E7BF0" w14:textId="77777777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410D9617" w14:textId="7ABF0ED7" w:rsidR="00D874F7" w:rsidRDefault="00D874F7" w:rsidP="00D874F7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 xml:space="preserve">Apigee </w:t>
      </w:r>
      <w:r w:rsidR="006C6E96">
        <w:rPr>
          <w:rFonts w:eastAsia="Times New Roman"/>
        </w:rPr>
        <w:t xml:space="preserve">URL </w:t>
      </w:r>
      <w:r>
        <w:rPr>
          <w:rFonts w:eastAsia="Times New Roman"/>
        </w:rPr>
        <w:t>Overview</w:t>
      </w:r>
    </w:p>
    <w:p w14:paraId="11637434" w14:textId="7A12DF4D" w:rsidR="00DA5D5F" w:rsidRDefault="00DA5D5F" w:rsidP="00DA5D5F">
      <w:r>
        <w:t>Apigee URLs consist of four parts:</w:t>
      </w:r>
    </w:p>
    <w:p w14:paraId="2F6DBA92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environment, which will be (marked in </w:t>
      </w:r>
      <w:r w:rsidRPr="009F1CC4">
        <w:rPr>
          <w:color w:val="FF0000"/>
        </w:rPr>
        <w:t>red</w:t>
      </w:r>
      <w:r>
        <w:t xml:space="preserve">) </w:t>
      </w:r>
    </w:p>
    <w:p w14:paraId="1F9B380D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customer proxy (marked in </w:t>
      </w:r>
      <w:r w:rsidRPr="009F1CC4">
        <w:rPr>
          <w:color w:val="00B050"/>
        </w:rPr>
        <w:t>green</w:t>
      </w:r>
      <w:r>
        <w:t>)</w:t>
      </w:r>
    </w:p>
    <w:p w14:paraId="20C2095D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The Apigee flow (marked in </w:t>
      </w:r>
      <w:r w:rsidRPr="009F1CC4">
        <w:rPr>
          <w:color w:val="0070C0"/>
        </w:rPr>
        <w:t>blue</w:t>
      </w:r>
      <w:r>
        <w:t>)</w:t>
      </w:r>
    </w:p>
    <w:p w14:paraId="4EEE08EE" w14:textId="77777777" w:rsidR="00DA5D5F" w:rsidRDefault="00DA5D5F" w:rsidP="00DA5D5F">
      <w:pPr>
        <w:pStyle w:val="ListParagraph"/>
        <w:numPr>
          <w:ilvl w:val="0"/>
          <w:numId w:val="30"/>
        </w:numPr>
      </w:pPr>
      <w:r>
        <w:t xml:space="preserve">Any parameters, </w:t>
      </w:r>
      <w:r w:rsidRPr="009F1CC4">
        <w:rPr>
          <w:i/>
        </w:rPr>
        <w:t>optional</w:t>
      </w:r>
      <w:r>
        <w:t xml:space="preserve"> (marked in </w:t>
      </w:r>
      <w:r w:rsidRPr="009F1CC4">
        <w:rPr>
          <w:color w:val="7030A0"/>
        </w:rPr>
        <w:t>purple</w:t>
      </w:r>
      <w:r>
        <w:t>)</w:t>
      </w:r>
    </w:p>
    <w:p w14:paraId="1CD96BA1" w14:textId="77777777" w:rsidR="00DA5D5F" w:rsidRPr="009F1CC4" w:rsidRDefault="00DA5D5F" w:rsidP="00DA5D5F">
      <w:pPr>
        <w:ind w:firstLine="720"/>
        <w:rPr>
          <w:b/>
        </w:rPr>
      </w:pPr>
      <w:r>
        <w:rPr>
          <w:b/>
        </w:rPr>
        <w:t>Format</w:t>
      </w:r>
      <w:r w:rsidRPr="009F1CC4">
        <w:rPr>
          <w:b/>
        </w:rPr>
        <w:t>:</w:t>
      </w:r>
      <w:r>
        <w:rPr>
          <w:b/>
        </w:rPr>
        <w:t xml:space="preserve"> Apigee URL with No Parameters</w:t>
      </w:r>
    </w:p>
    <w:p w14:paraId="5C02B8CF" w14:textId="77777777" w:rsidR="00DA5D5F" w:rsidRPr="009F1CC4" w:rsidRDefault="00DF74FB" w:rsidP="00DA5D5F">
      <w:pPr>
        <w:ind w:left="720"/>
      </w:pPr>
      <w:hyperlink w:history="1">
        <w:r w:rsidR="00DA5D5F" w:rsidRPr="009F1CC4">
          <w:rPr>
            <w:rStyle w:val="Hyperlink"/>
            <w:color w:val="FF0000"/>
          </w:rPr>
          <w:t>https://northwestern-{{apigee-env}}.apigee.net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B050"/>
          </w:rPr>
          <w:t>customer-proxy-name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70C0"/>
          </w:rPr>
          <w:t>flow-name</w:t>
        </w:r>
      </w:hyperlink>
    </w:p>
    <w:p w14:paraId="6F78B550" w14:textId="77777777" w:rsidR="00DA5D5F" w:rsidRDefault="00DA5D5F" w:rsidP="00DA5D5F">
      <w:pPr>
        <w:spacing w:after="0" w:line="240" w:lineRule="auto"/>
      </w:pPr>
    </w:p>
    <w:p w14:paraId="04D0AF48" w14:textId="77777777" w:rsidR="00DA5D5F" w:rsidRPr="00112D65" w:rsidRDefault="00DA5D5F" w:rsidP="00D874F7">
      <w:r>
        <w:t xml:space="preserve">Any parameter values are required in the query parameters of the request URL as name-value pairs in the query parameters at the end of the URL, where the name in the name-value pair matches the </w:t>
      </w:r>
      <w:r w:rsidRPr="00CC7360">
        <w:t xml:space="preserve">parameter placeholder </w:t>
      </w:r>
      <w:r>
        <w:t xml:space="preserve">in the SQL statement </w:t>
      </w:r>
    </w:p>
    <w:p w14:paraId="54E12250" w14:textId="77777777" w:rsidR="00DA5D5F" w:rsidRPr="00112D65" w:rsidRDefault="00DA5D5F" w:rsidP="00DA5D5F">
      <w:pPr>
        <w:ind w:left="720"/>
        <w:rPr>
          <w:b/>
        </w:rPr>
      </w:pPr>
      <w:r>
        <w:rPr>
          <w:b/>
        </w:rPr>
        <w:t>Format</w:t>
      </w:r>
      <w:r w:rsidRPr="00112D65">
        <w:rPr>
          <w:b/>
        </w:rPr>
        <w:t xml:space="preserve">: </w:t>
      </w:r>
      <w:r>
        <w:rPr>
          <w:b/>
        </w:rPr>
        <w:t>Apigee URL with Parameters</w:t>
      </w:r>
    </w:p>
    <w:p w14:paraId="5BEE4A00" w14:textId="6EFF044F" w:rsidR="00DA5D5F" w:rsidRDefault="00DF74FB" w:rsidP="00DA5D5F">
      <w:pPr>
        <w:ind w:left="720"/>
        <w:rPr>
          <w:color w:val="7030A0"/>
        </w:rPr>
      </w:pPr>
      <w:hyperlink w:history="1">
        <w:r w:rsidR="00DA5D5F" w:rsidRPr="009F1CC4">
          <w:rPr>
            <w:rStyle w:val="Hyperlink"/>
            <w:color w:val="FF0000"/>
          </w:rPr>
          <w:t>https://northwestern-{{apigee-env}}.apigee.net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B050"/>
          </w:rPr>
          <w:t>customer-proxy-name</w:t>
        </w:r>
        <w:r w:rsidR="00DA5D5F" w:rsidRPr="009F1CC4">
          <w:rPr>
            <w:rStyle w:val="Hyperlink"/>
            <w:color w:val="auto"/>
          </w:rPr>
          <w:t>/</w:t>
        </w:r>
        <w:r w:rsidR="00DA5D5F" w:rsidRPr="009F1CC4">
          <w:rPr>
            <w:rStyle w:val="Hyperlink"/>
            <w:color w:val="0070C0"/>
          </w:rPr>
          <w:t>flow-name</w:t>
        </w:r>
      </w:hyperlink>
      <w:r w:rsidR="00DA5D5F">
        <w:br/>
        <w:t>?</w:t>
      </w:r>
      <w:r w:rsidR="00DA5D5F">
        <w:rPr>
          <w:color w:val="7030A0"/>
        </w:rPr>
        <w:t>parameter1=value1</w:t>
      </w:r>
      <w:r w:rsidR="00DA5D5F" w:rsidRPr="00112D65">
        <w:t>&amp;</w:t>
      </w:r>
      <w:r w:rsidR="00DA5D5F" w:rsidRPr="00112D65">
        <w:rPr>
          <w:color w:val="7030A0"/>
        </w:rPr>
        <w:t>parameter2=value2</w:t>
      </w:r>
      <w:r w:rsidR="00DA5D5F" w:rsidRPr="007C1C79">
        <w:t>&amp;</w:t>
      </w:r>
      <w:r w:rsidR="00DA5D5F" w:rsidRPr="00112D65">
        <w:rPr>
          <w:color w:val="7030A0"/>
        </w:rPr>
        <w:t>parameter3=value3</w:t>
      </w:r>
    </w:p>
    <w:p w14:paraId="4855394B" w14:textId="77777777" w:rsidR="00D874F7" w:rsidRDefault="00D874F7" w:rsidP="00DA5D5F">
      <w:pPr>
        <w:ind w:left="720"/>
        <w:rPr>
          <w:color w:val="7030A0"/>
        </w:rPr>
      </w:pPr>
    </w:p>
    <w:p w14:paraId="2B4A9C0A" w14:textId="05D0EAB8" w:rsidR="00DA5D5F" w:rsidRPr="00D874F7" w:rsidRDefault="00DA5D5F" w:rsidP="00D874F7">
      <w:pPr>
        <w:ind w:firstLine="720"/>
        <w:rPr>
          <w:color w:val="7030A0"/>
        </w:rPr>
      </w:pPr>
      <w:r w:rsidRPr="00112D65">
        <w:rPr>
          <w:b/>
        </w:rPr>
        <w:t xml:space="preserve">Example: Query </w:t>
      </w:r>
      <w:r>
        <w:rPr>
          <w:b/>
        </w:rPr>
        <w:t>and Apigee URL</w:t>
      </w:r>
    </w:p>
    <w:p w14:paraId="685100E6" w14:textId="77777777" w:rsidR="00DA5D5F" w:rsidRDefault="00DA5D5F" w:rsidP="00DA5D5F">
      <w:pPr>
        <w:ind w:firstLine="720"/>
      </w:pPr>
      <w:r>
        <w:t>SELECT * FROM people WHERE fname=:firstname AND lname=:lastname</w:t>
      </w:r>
    </w:p>
    <w:p w14:paraId="069C6C86" w14:textId="77777777" w:rsidR="00DA5D5F" w:rsidRPr="00112D65" w:rsidRDefault="00DF74FB" w:rsidP="00DA5D5F">
      <w:pPr>
        <w:ind w:left="720"/>
        <w:rPr>
          <w:color w:val="0070C0"/>
        </w:rPr>
      </w:pPr>
      <w:hyperlink r:id="rId21" w:history="1">
        <w:r w:rsidR="00DA5D5F" w:rsidRPr="00112D65">
          <w:rPr>
            <w:rStyle w:val="Hyperlink"/>
            <w:color w:val="FF0000"/>
          </w:rPr>
          <w:t>https://northwestern-prod.apigee.net</w:t>
        </w:r>
        <w:r w:rsidR="00DA5D5F" w:rsidRPr="00112D65">
          <w:rPr>
            <w:rStyle w:val="Hyperlink"/>
            <w:color w:val="auto"/>
          </w:rPr>
          <w:t>/</w:t>
        </w:r>
        <w:r w:rsidR="00DA5D5F" w:rsidRPr="00112D65">
          <w:rPr>
            <w:rStyle w:val="Hyperlink"/>
            <w:color w:val="00B050"/>
          </w:rPr>
          <w:t>sample-customer-proxy</w:t>
        </w:r>
        <w:r w:rsidR="00DA5D5F" w:rsidRPr="00112D65">
          <w:rPr>
            <w:rStyle w:val="Hyperlink"/>
            <w:color w:val="auto"/>
          </w:rPr>
          <w:t>/</w:t>
        </w:r>
        <w:r w:rsidR="00DA5D5F" w:rsidRPr="00AF24F5">
          <w:rPr>
            <w:rStyle w:val="Hyperlink"/>
          </w:rPr>
          <w:t>peoplebyname</w:t>
        </w:r>
      </w:hyperlink>
      <w:r w:rsidR="00DA5D5F">
        <w:rPr>
          <w:color w:val="0070C0"/>
        </w:rPr>
        <w:br/>
      </w:r>
      <w:r w:rsidR="00DA5D5F">
        <w:t>?</w:t>
      </w:r>
      <w:r w:rsidR="00DA5D5F" w:rsidRPr="00112D65">
        <w:rPr>
          <w:color w:val="7030A0"/>
        </w:rPr>
        <w:t>firstname=john</w:t>
      </w:r>
      <w:r w:rsidR="00DA5D5F">
        <w:t>&amp;</w:t>
      </w:r>
      <w:r w:rsidR="00DA5D5F" w:rsidRPr="00112D65">
        <w:rPr>
          <w:color w:val="7030A0"/>
        </w:rPr>
        <w:t>lastname=smith</w:t>
      </w:r>
    </w:p>
    <w:p w14:paraId="224E4166" w14:textId="77777777" w:rsidR="006C6E96" w:rsidRDefault="006C6E96" w:rsidP="006C6E96">
      <w:pPr>
        <w:rPr>
          <w:rFonts w:ascii="Calibri" w:eastAsia="Times New Roman" w:hAnsi="Calibri" w:cs="Times New Roman"/>
          <w:b/>
        </w:rPr>
      </w:pPr>
      <w:bookmarkStart w:id="13" w:name="_Toc18490845"/>
    </w:p>
    <w:p w14:paraId="6ECFA3E2" w14:textId="3C0837B7" w:rsidR="00DA5D5F" w:rsidRPr="006C6E96" w:rsidRDefault="00DA5D5F" w:rsidP="006C6E96">
      <w:pPr>
        <w:pStyle w:val="Heading4"/>
        <w:rPr>
          <w:rFonts w:ascii="Calibri" w:eastAsia="Times New Roman" w:hAnsi="Calibri" w:cs="Times New Roman"/>
        </w:rPr>
      </w:pPr>
      <w:r w:rsidRPr="002915E4">
        <w:t>Customer Proxy Starter Agreement</w:t>
      </w:r>
      <w:bookmarkEnd w:id="13"/>
    </w:p>
    <w:p w14:paraId="2ECF10E2" w14:textId="47FAC4E0" w:rsidR="00DA5D5F" w:rsidRPr="009F6F6F" w:rsidRDefault="006C6E96" w:rsidP="00DA5D5F">
      <w:pPr>
        <w:spacing w:before="100" w:beforeAutospacing="1" w:after="100" w:afterAutospacing="1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</w:rPr>
        <w:t>The DataHub team is</w:t>
      </w:r>
      <w:r w:rsidR="00DA5D5F" w:rsidRPr="009F6F6F">
        <w:rPr>
          <w:rFonts w:ascii="Calibri" w:eastAsia="Times New Roman" w:hAnsi="Calibri" w:cs="Times New Roman"/>
        </w:rPr>
        <w:t xml:space="preserve"> providing a </w:t>
      </w:r>
      <w:r w:rsidR="00DA5D5F">
        <w:rPr>
          <w:rFonts w:ascii="Calibri" w:eastAsia="Times New Roman" w:hAnsi="Calibri" w:cs="Times New Roman"/>
        </w:rPr>
        <w:t>quick-start</w:t>
      </w:r>
      <w:r w:rsidR="00DA5D5F" w:rsidRPr="009F6F6F">
        <w:rPr>
          <w:rFonts w:ascii="Calibri" w:eastAsia="Times New Roman" w:hAnsi="Calibri" w:cs="Times New Roman"/>
        </w:rPr>
        <w:t xml:space="preserve"> customer proxy .zip that will </w:t>
      </w:r>
      <w:r w:rsidR="00DA5D5F">
        <w:rPr>
          <w:rFonts w:ascii="Calibri" w:eastAsia="Times New Roman" w:hAnsi="Calibri" w:cs="Times New Roman"/>
        </w:rPr>
        <w:t xml:space="preserve">make it much quicker for you </w:t>
      </w:r>
      <w:r w:rsidR="00DA5D5F" w:rsidRPr="009F6F6F">
        <w:rPr>
          <w:rFonts w:ascii="Calibri" w:eastAsia="Times New Roman" w:hAnsi="Calibri" w:cs="Times New Roman"/>
        </w:rPr>
        <w:t xml:space="preserve">to </w:t>
      </w:r>
      <w:r w:rsidR="00DA5D5F">
        <w:rPr>
          <w:rFonts w:ascii="Calibri" w:eastAsia="Times New Roman" w:hAnsi="Calibri" w:cs="Times New Roman"/>
        </w:rPr>
        <w:t xml:space="preserve">set up your customer proxy and </w:t>
      </w:r>
      <w:r>
        <w:rPr>
          <w:rFonts w:ascii="Calibri" w:eastAsia="Times New Roman" w:hAnsi="Calibri" w:cs="Times New Roman"/>
        </w:rPr>
        <w:t>get started with datahub.</w:t>
      </w:r>
    </w:p>
    <w:p w14:paraId="7C738A5A" w14:textId="77777777" w:rsidR="006C6E96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We are here for questions! </w:t>
      </w:r>
    </w:p>
    <w:p w14:paraId="58C78AA3" w14:textId="32D3A527" w:rsidR="00DA5D5F" w:rsidRPr="006C6E96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 xml:space="preserve">However by using this starter, you acknowledge that </w:t>
      </w:r>
      <w:r w:rsidRPr="006C6E96">
        <w:rPr>
          <w:rFonts w:ascii="Calibri" w:eastAsia="Times New Roman" w:hAnsi="Calibri" w:cs="Times New Roman"/>
          <w:b/>
          <w:i/>
        </w:rPr>
        <w:t>you</w:t>
      </w:r>
      <w:r w:rsidRPr="006C6E96">
        <w:rPr>
          <w:rFonts w:ascii="Calibri" w:eastAsia="Times New Roman" w:hAnsi="Calibri" w:cs="Times New Roman"/>
          <w:b/>
        </w:rPr>
        <w:t xml:space="preserve"> are responsible for your customer proxy including:</w:t>
      </w:r>
    </w:p>
    <w:p w14:paraId="7A1E7590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Enhancements, Changes, Updates</w:t>
      </w:r>
    </w:p>
    <w:p w14:paraId="7D911A28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Debugging, Troubleshooting, Errors</w:t>
      </w:r>
    </w:p>
    <w:p w14:paraId="42A572AF" w14:textId="77777777" w:rsidR="00DA5D5F" w:rsidRPr="006C6E96" w:rsidRDefault="00DA5D5F" w:rsidP="00DA5D5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  <w:b/>
        </w:rPr>
        <w:t>Generally understanding how it works</w:t>
      </w:r>
    </w:p>
    <w:p w14:paraId="602D6AAE" w14:textId="77777777" w:rsidR="00DA5D5F" w:rsidRPr="009F6F6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If you would feel better equipped to own your customer proxy by building it yourself, we can provide step-by-step instructions for building a customer proxy from scratch. </w:t>
      </w:r>
    </w:p>
    <w:p w14:paraId="49627D83" w14:textId="77777777" w:rsidR="00DA5D5F" w:rsidRPr="002915E4" w:rsidRDefault="00DA5D5F" w:rsidP="006C6E96">
      <w:pPr>
        <w:pStyle w:val="Heading4"/>
      </w:pPr>
      <w:bookmarkStart w:id="14" w:name="_Toc18490846"/>
      <w:r w:rsidRPr="002915E4">
        <w:lastRenderedPageBreak/>
        <w:t>Customer Proxy Creation</w:t>
      </w:r>
      <w:bookmarkEnd w:id="14"/>
    </w:p>
    <w:p w14:paraId="6275DE6F" w14:textId="77777777" w:rsidR="00DA5D5F" w:rsidRPr="006C6E96" w:rsidRDefault="00DA5D5F" w:rsidP="006C6E96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</w:rPr>
      </w:pPr>
      <w:r w:rsidRPr="006C6E96">
        <w:rPr>
          <w:rFonts w:ascii="Calibri" w:eastAsia="Times New Roman" w:hAnsi="Calibri" w:cs="Times New Roman"/>
        </w:rPr>
        <w:t xml:space="preserve">Complete </w:t>
      </w:r>
      <w:r w:rsidRPr="006C6E96">
        <w:rPr>
          <w:rFonts w:ascii="Calibri" w:eastAsia="Times New Roman" w:hAnsi="Calibri" w:cs="Times New Roman"/>
          <w:b/>
        </w:rPr>
        <w:t xml:space="preserve">only </w:t>
      </w:r>
      <w:r w:rsidRPr="006C6E96">
        <w:rPr>
          <w:rFonts w:ascii="Calibri" w:eastAsia="Times New Roman" w:hAnsi="Calibri" w:cs="Times New Roman"/>
        </w:rPr>
        <w:t xml:space="preserve">the following steps from the </w:t>
      </w:r>
      <w:hyperlink r:id="rId22" w:history="1">
        <w:r w:rsidRPr="006C6E96">
          <w:rPr>
            <w:rStyle w:val="Hyperlink"/>
            <w:rFonts w:ascii="Calibri" w:eastAsia="Times New Roman" w:hAnsi="Calibri" w:cs="Times New Roman"/>
          </w:rPr>
          <w:t>API Service Registry Documentation</w:t>
        </w:r>
      </w:hyperlink>
      <w:r w:rsidRPr="006C6E96">
        <w:rPr>
          <w:rFonts w:ascii="Calibri" w:eastAsia="Times New Roman" w:hAnsi="Calibri" w:cs="Times New Roman"/>
        </w:rPr>
        <w:t xml:space="preserve">: </w:t>
      </w:r>
    </w:p>
    <w:p w14:paraId="5EE32BFA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Create API Proxy </w:t>
      </w:r>
      <w:r w:rsidRPr="006C6E96">
        <w:rPr>
          <w:rFonts w:ascii="Calibri" w:eastAsia="Times New Roman" w:hAnsi="Calibri" w:cs="Times New Roman"/>
          <w:b/>
        </w:rPr>
        <w:t xml:space="preserve">from bundle </w:t>
      </w:r>
      <w:r w:rsidRPr="006C6E96">
        <w:rPr>
          <w:rFonts w:ascii="Calibri" w:eastAsia="Times New Roman" w:hAnsi="Calibri" w:cs="Times New Roman"/>
        </w:rPr>
        <w:t>(do not follow the Reverse Proxy instructions on the service registry documentation)</w:t>
      </w:r>
    </w:p>
    <w:p w14:paraId="4C1B05FD" w14:textId="77777777" w:rsidR="00DA5D5F" w:rsidRPr="006C6E96" w:rsidRDefault="00DA5D5F" w:rsidP="006C6E96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Proxy Name: {{teamname}}-{{appname}}-datahub-connector</w:t>
      </w:r>
    </w:p>
    <w:p w14:paraId="43C19187" w14:textId="77777777" w:rsidR="00DA5D5F" w:rsidRPr="006C6E96" w:rsidRDefault="00DA5D5F" w:rsidP="006C6E96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Bundle: datahub-customer-starter.zip</w:t>
      </w:r>
    </w:p>
    <w:p w14:paraId="73F8C0FB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Create API Products: DEV/TEST, PROD</w:t>
      </w:r>
    </w:p>
    <w:p w14:paraId="2E8D5CE8" w14:textId="02AF5351" w:rsidR="00F903FC" w:rsidRPr="00F903FC" w:rsidRDefault="00F903FC" w:rsidP="00F903F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hyperlink r:id="rId23" w:history="1">
        <w:r w:rsidR="00DA5D5F" w:rsidRPr="00F903FC">
          <w:rPr>
            <w:rStyle w:val="Hyperlink"/>
            <w:rFonts w:ascii="Calibri" w:eastAsia="Times New Roman" w:hAnsi="Calibri" w:cs="Times New Roman"/>
          </w:rPr>
          <w:t>Submit F</w:t>
        </w:r>
        <w:r w:rsidR="00DA5D5F" w:rsidRPr="00F903FC">
          <w:rPr>
            <w:rStyle w:val="Hyperlink"/>
            <w:rFonts w:ascii="Calibri" w:eastAsia="Times New Roman" w:hAnsi="Calibri" w:cs="Times New Roman"/>
          </w:rPr>
          <w:t>o</w:t>
        </w:r>
        <w:r w:rsidR="00DA5D5F" w:rsidRPr="00F903FC">
          <w:rPr>
            <w:rStyle w:val="Hyperlink"/>
            <w:rFonts w:ascii="Calibri" w:eastAsia="Times New Roman" w:hAnsi="Calibri" w:cs="Times New Roman"/>
          </w:rPr>
          <w:t>rm</w:t>
        </w:r>
        <w:r w:rsidRPr="00F903FC">
          <w:rPr>
            <w:rStyle w:val="Hyperlink"/>
            <w:rFonts w:ascii="Calibri" w:eastAsia="Times New Roman" w:hAnsi="Calibri" w:cs="Times New Roman"/>
          </w:rPr>
          <w:t xml:space="preserve"> on the API Service Registry</w:t>
        </w:r>
        <w:r w:rsidR="00DA5D5F" w:rsidRPr="00F903FC">
          <w:rPr>
            <w:rStyle w:val="Hyperlink"/>
            <w:rFonts w:ascii="Calibri" w:eastAsia="Times New Roman" w:hAnsi="Calibri" w:cs="Times New Roman"/>
          </w:rPr>
          <w:t xml:space="preserve">: </w:t>
        </w:r>
        <w:r w:rsidRPr="00F903FC">
          <w:rPr>
            <w:rStyle w:val="Hyperlink"/>
            <w:rFonts w:ascii="Calibri" w:eastAsia="Times New Roman" w:hAnsi="Calibri" w:cs="Times New Roman"/>
          </w:rPr>
          <w:t>Requests for I&amp;A Team</w:t>
        </w:r>
      </w:hyperlink>
      <w:r w:rsidR="00DA5D5F" w:rsidRPr="006C6E96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to get access to edit and deploy your proxy/products. </w:t>
      </w:r>
      <w:r w:rsidR="00DA5D5F" w:rsidRPr="00E1216A">
        <w:rPr>
          <w:rFonts w:ascii="Calibri" w:eastAsia="Times New Roman" w:hAnsi="Calibri" w:cs="Times New Roman"/>
        </w:rPr>
        <w:t>Also request in your ticket that the products be added to your team’s Apigee testing app so you can test/call the service, or request an app be created if you don’t have one.</w:t>
      </w:r>
      <w:r w:rsidR="006C6E96" w:rsidRPr="00E1216A">
        <w:rPr>
          <w:rFonts w:ascii="Calibri" w:eastAsia="Times New Roman" w:hAnsi="Calibri" w:cs="Times New Roman"/>
        </w:rPr>
        <w:t>)</w:t>
      </w:r>
      <w:r>
        <w:rPr>
          <w:rFonts w:ascii="Calibri" w:eastAsia="Times New Roman" w:hAnsi="Calibri" w:cs="Times New Roman"/>
        </w:rPr>
        <w:t xml:space="preserve">. Example request: </w:t>
      </w:r>
    </w:p>
    <w:p w14:paraId="16DD0C27" w14:textId="4EC82B55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 xml:space="preserve">I have created a new API proxy and products and would like access to edit/deploy added to the [your team name] team in Apigee. </w:t>
      </w:r>
    </w:p>
    <w:p w14:paraId="71881EAE" w14:textId="107FF9D1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>Proxy name: [your proxy name]</w:t>
      </w:r>
    </w:p>
    <w:p w14:paraId="189F92E8" w14:textId="2E80E47C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>Product names: [your product names]</w:t>
      </w:r>
    </w:p>
    <w:p w14:paraId="21CA30AE" w14:textId="515CCD14" w:rsidR="00F903FC" w:rsidRPr="00F903FC" w:rsidRDefault="00F903FC" w:rsidP="00F903FC">
      <w:pPr>
        <w:spacing w:after="0" w:line="240" w:lineRule="auto"/>
        <w:ind w:left="360"/>
        <w:rPr>
          <w:rFonts w:ascii="Calibri" w:eastAsia="Times New Roman" w:hAnsi="Calibri" w:cs="Times New Roman"/>
          <w:color w:val="5B9BD5" w:themeColor="accent1"/>
        </w:rPr>
      </w:pPr>
      <w:r w:rsidRPr="00F903FC">
        <w:rPr>
          <w:rFonts w:ascii="Calibri" w:eastAsia="Times New Roman" w:hAnsi="Calibri" w:cs="Times New Roman"/>
          <w:color w:val="5B9BD5" w:themeColor="accent1"/>
        </w:rPr>
        <w:t xml:space="preserve">Please also grant access to the products above to our team testing app for testing.  </w:t>
      </w:r>
    </w:p>
    <w:p w14:paraId="2F399253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If you need help with Apigee basics in this section (creating a proxy/products or using your apikey), </w:t>
      </w:r>
      <w:hyperlink r:id="rId24" w:history="1">
        <w:r w:rsidRPr="006C6E96">
          <w:rPr>
            <w:rStyle w:val="Hyperlink"/>
            <w:rFonts w:ascii="Calibri" w:eastAsia="Times New Roman" w:hAnsi="Calibri" w:cs="Times New Roman"/>
          </w:rPr>
          <w:t>contact the DMA Integration Te</w:t>
        </w:r>
        <w:r w:rsidRPr="006C6E96">
          <w:rPr>
            <w:rStyle w:val="Hyperlink"/>
            <w:rFonts w:ascii="Calibri" w:eastAsia="Times New Roman" w:hAnsi="Calibri" w:cs="Times New Roman"/>
          </w:rPr>
          <w:t>a</w:t>
        </w:r>
        <w:r w:rsidRPr="006C6E96">
          <w:rPr>
            <w:rStyle w:val="Hyperlink"/>
            <w:rFonts w:ascii="Calibri" w:eastAsia="Times New Roman" w:hAnsi="Calibri" w:cs="Times New Roman"/>
          </w:rPr>
          <w:t>m</w:t>
        </w:r>
      </w:hyperlink>
    </w:p>
    <w:p w14:paraId="4EAF41B5" w14:textId="77777777" w:rsidR="00DA5D5F" w:rsidRPr="006C6E96" w:rsidRDefault="00DA5D5F" w:rsidP="006C6E96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>In the Proxy Endpoints section, locate the &lt;HTTPProxyConnection&gt; and update the &lt;BasePath&gt; for calling your customer proxy (typically would be of the format /appname-datahub)</w:t>
      </w:r>
    </w:p>
    <w:p w14:paraId="13E517FC" w14:textId="0E9576D1" w:rsidR="00DA5D5F" w:rsidRPr="00E1216A" w:rsidRDefault="00DA5D5F" w:rsidP="00E1216A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</w:rPr>
      </w:pPr>
      <w:r w:rsidRPr="006C6E96">
        <w:rPr>
          <w:rFonts w:ascii="Calibri" w:eastAsia="Times New Roman" w:hAnsi="Calibri" w:cs="Times New Roman"/>
        </w:rPr>
        <w:t xml:space="preserve">This will be in the url to call your proxy, after </w:t>
      </w:r>
      <w:hyperlink w:history="1">
        <w:r w:rsidR="00E1216A" w:rsidRPr="002608A8">
          <w:rPr>
            <w:rStyle w:val="Hyperlink"/>
            <w:rFonts w:ascii="Calibri" w:eastAsia="Times New Roman" w:hAnsi="Calibri" w:cs="Times New Roman"/>
          </w:rPr>
          <w:t>http://northwestern-{{env}}.apigee.net</w:t>
        </w:r>
      </w:hyperlink>
      <w:r w:rsidR="00E1216A">
        <w:rPr>
          <w:rFonts w:ascii="Calibri" w:eastAsia="Times New Roman" w:hAnsi="Calibri" w:cs="Times New Roman"/>
        </w:rPr>
        <w:t xml:space="preserve"> (e</w:t>
      </w:r>
      <w:r w:rsidRPr="00E1216A">
        <w:rPr>
          <w:rFonts w:ascii="Calibri" w:eastAsia="Times New Roman" w:hAnsi="Calibri" w:cs="Times New Roman"/>
        </w:rPr>
        <w:t>.g. /infoed-datahub</w:t>
      </w:r>
      <w:r w:rsidR="00E1216A">
        <w:rPr>
          <w:rFonts w:ascii="Calibri" w:eastAsia="Times New Roman" w:hAnsi="Calibri" w:cs="Times New Roman"/>
        </w:rPr>
        <w:t>)</w:t>
      </w:r>
    </w:p>
    <w:p w14:paraId="56D5DE16" w14:textId="77777777" w:rsidR="00DA5D5F" w:rsidRPr="00396B05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30CC4AAF" wp14:editId="2859EC20">
            <wp:extent cx="5943600" cy="307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04 at 9.36.55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CD07" w14:textId="77777777" w:rsidR="00DA5D5F" w:rsidRPr="00396B05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noProof/>
        </w:rPr>
        <w:lastRenderedPageBreak/>
        <w:drawing>
          <wp:inline distT="0" distB="0" distL="0" distR="0" wp14:anchorId="1CC44538" wp14:editId="30A034A9">
            <wp:extent cx="4299947" cy="54576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04 at 9.34.05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05" cy="56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9FC" w14:textId="77777777" w:rsidR="00DA5D5F" w:rsidRDefault="00DA5D5F" w:rsidP="00DA5D5F">
      <w:pPr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br w:type="page"/>
      </w:r>
    </w:p>
    <w:p w14:paraId="0A5F765E" w14:textId="20C4FF23" w:rsidR="00DA5D5F" w:rsidRPr="001755B0" w:rsidRDefault="001755B0" w:rsidP="001755B0">
      <w:pPr>
        <w:pStyle w:val="Heading4"/>
      </w:pPr>
      <w:r w:rsidRPr="001755B0">
        <w:lastRenderedPageBreak/>
        <w:t>Final</w:t>
      </w:r>
      <w:r>
        <w:t xml:space="preserve"> Apigee Configuration</w:t>
      </w:r>
    </w:p>
    <w:p w14:paraId="0B4CA202" w14:textId="2A47C544" w:rsidR="00DA5D5F" w:rsidRPr="001755B0" w:rsidRDefault="00DA5D5F" w:rsidP="00DA5D5F">
      <w:pPr>
        <w:rPr>
          <w:rFonts w:eastAsia="Times New Roman" w:cs="Arial"/>
          <w:b/>
        </w:rPr>
      </w:pPr>
      <w:r w:rsidRPr="001755B0">
        <w:rPr>
          <w:rFonts w:eastAsia="Times New Roman" w:cs="Arial"/>
        </w:rPr>
        <w:t>Once you have set up a new query with the DataHub team and were provided a query key</w:t>
      </w:r>
      <w:r w:rsidR="001755B0">
        <w:rPr>
          <w:rFonts w:eastAsia="Times New Roman" w:cs="Arial"/>
        </w:rPr>
        <w:t>, there are several steps of final configuration within Apigee.</w:t>
      </w:r>
    </w:p>
    <w:p w14:paraId="2E8443B3" w14:textId="61951558" w:rsidR="00DA5D5F" w:rsidRPr="001755B0" w:rsidRDefault="00DA5D5F" w:rsidP="001755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 xml:space="preserve">Create a new flow under the Proxy Endpoints section like </w:t>
      </w:r>
      <w:r w:rsidRPr="001755B0">
        <w:rPr>
          <w:rFonts w:eastAsia="Times New Roman" w:cs="Arial"/>
          <w:color w:val="4E2A84"/>
        </w:rPr>
        <w:t>My Example Query</w:t>
      </w:r>
      <w:r w:rsidR="001755B0">
        <w:rPr>
          <w:rFonts w:eastAsia="Times New Roman" w:cs="Arial"/>
          <w:color w:val="2E74B5" w:themeColor="accent1" w:themeShade="BF"/>
        </w:rPr>
        <w:t xml:space="preserve"> </w:t>
      </w:r>
      <w:r w:rsidR="001755B0" w:rsidRPr="001755B0">
        <w:rPr>
          <w:rFonts w:eastAsia="Times New Roman" w:cs="Arial"/>
        </w:rPr>
        <w:t>below.</w:t>
      </w:r>
      <w:r w:rsidR="001755B0">
        <w:rPr>
          <w:rFonts w:eastAsia="Times New Roman" w:cs="Arial"/>
        </w:rPr>
        <w:t xml:space="preserve"> (</w:t>
      </w:r>
      <w:r w:rsidRPr="001755B0">
        <w:rPr>
          <w:rFonts w:eastAsia="Times New Roman" w:cs="Arial"/>
        </w:rPr>
        <w:t>Replace the 2 instances of</w:t>
      </w:r>
      <w:r w:rsidRPr="001755B0">
        <w:rPr>
          <w:rFonts w:ascii="Calibri" w:eastAsia="Times New Roman" w:hAnsi="Calibri" w:cs="Times New Roman"/>
        </w:rPr>
        <w:t xml:space="preserve"> </w:t>
      </w:r>
      <w:r w:rsidRPr="001755B0">
        <w:rPr>
          <w:rFonts w:ascii="Calibri" w:eastAsia="Times New Roman" w:hAnsi="Calibri" w:cs="Times New Roman"/>
          <w:i/>
        </w:rPr>
        <w:t>my example query</w:t>
      </w:r>
      <w:r w:rsidRPr="001755B0">
        <w:rPr>
          <w:rFonts w:ascii="Calibri" w:eastAsia="Times New Roman" w:hAnsi="Calibri" w:cs="Times New Roman"/>
        </w:rPr>
        <w:t xml:space="preserve"> with your query name</w:t>
      </w:r>
      <w:r w:rsidR="001755B0">
        <w:rPr>
          <w:rFonts w:ascii="Calibri" w:eastAsia="Times New Roman" w:hAnsi="Calibri" w:cs="Times New Roman"/>
        </w:rPr>
        <w:t>.)</w:t>
      </w:r>
    </w:p>
    <w:p w14:paraId="23260285" w14:textId="77777777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0D10FD88" wp14:editId="5FDAFE7B">
            <wp:extent cx="5943600" cy="3077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04 at 9.39.36 A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6FA7" w14:textId="7790261C" w:rsidR="00DA5D5F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6F6197BC" wp14:editId="0E070C73">
            <wp:extent cx="3748284" cy="5266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9-04 at 9.46.19 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436" cy="5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F715" w14:textId="77777777" w:rsidR="001755B0" w:rsidRPr="00AE6589" w:rsidRDefault="001755B0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</w:p>
    <w:p w14:paraId="158D1B4A" w14:textId="6C6970B2" w:rsidR="00DA5D5F" w:rsidRPr="001755B0" w:rsidRDefault="00DA5D5F" w:rsidP="001755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 xml:space="preserve">Create a new KVM policy to look up the query key under Policies section like </w:t>
      </w:r>
      <w:r w:rsidRPr="001755B0">
        <w:rPr>
          <w:rFonts w:eastAsia="Times New Roman" w:cs="Arial"/>
          <w:color w:val="4E2A84"/>
        </w:rPr>
        <w:t>Get My Example Query QueryKey</w:t>
      </w:r>
      <w:r w:rsidR="001755B0">
        <w:rPr>
          <w:rFonts w:eastAsia="Times New Roman" w:cs="Arial"/>
          <w:color w:val="2E74B5" w:themeColor="accent1" w:themeShade="BF"/>
        </w:rPr>
        <w:t xml:space="preserve"> </w:t>
      </w:r>
      <w:r w:rsidR="001755B0" w:rsidRPr="001755B0">
        <w:rPr>
          <w:rFonts w:eastAsia="Times New Roman" w:cs="Arial"/>
        </w:rPr>
        <w:t>below.</w:t>
      </w:r>
      <w:r w:rsidR="001755B0">
        <w:rPr>
          <w:rFonts w:eastAsia="Times New Roman" w:cs="Arial"/>
        </w:rPr>
        <w:t xml:space="preserve"> (</w:t>
      </w:r>
      <w:r w:rsidRPr="001755B0">
        <w:rPr>
          <w:rFonts w:eastAsia="Times New Roman" w:cs="Arial"/>
        </w:rPr>
        <w:t xml:space="preserve">Replace </w:t>
      </w:r>
      <w:r w:rsidRPr="001755B0">
        <w:rPr>
          <w:rFonts w:eastAsia="Times New Roman" w:cs="Arial"/>
          <w:i/>
        </w:rPr>
        <w:t>my appname</w:t>
      </w:r>
      <w:r w:rsidRPr="001755B0">
        <w:rPr>
          <w:rFonts w:eastAsia="Times New Roman" w:cs="Arial"/>
        </w:rPr>
        <w:t xml:space="preserve"> and </w:t>
      </w:r>
      <w:r w:rsidRPr="001755B0">
        <w:rPr>
          <w:rFonts w:eastAsia="Times New Roman" w:cs="Arial"/>
          <w:i/>
        </w:rPr>
        <w:t xml:space="preserve">my example query </w:t>
      </w:r>
      <w:r w:rsidRPr="001755B0">
        <w:rPr>
          <w:rFonts w:eastAsia="Times New Roman" w:cs="Arial"/>
        </w:rPr>
        <w:t>with your own</w:t>
      </w:r>
      <w:r w:rsidR="001755B0">
        <w:rPr>
          <w:rFonts w:eastAsia="Times New Roman" w:cs="Arial"/>
        </w:rPr>
        <w:t>.)</w:t>
      </w:r>
    </w:p>
    <w:p w14:paraId="615CA472" w14:textId="2A81F38D" w:rsidR="00DA5D5F" w:rsidRDefault="00DA5D5F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3F7542B6" wp14:editId="108D1D08">
            <wp:extent cx="5943600" cy="3053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9-04 at 9.39.46 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24D7" w14:textId="77777777" w:rsidR="001755B0" w:rsidRPr="00AE6589" w:rsidRDefault="001755B0" w:rsidP="00DA5D5F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3A1D9CF4" w14:textId="6E2F4912" w:rsidR="00DA5D5F" w:rsidRPr="001755B0" w:rsidRDefault="001755B0" w:rsidP="00DA5D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>
        <w:rPr>
          <w:rFonts w:eastAsia="Times New Roman" w:cs="Arial"/>
        </w:rPr>
        <w:t>Add</w:t>
      </w:r>
      <w:r w:rsidR="00DA5D5F" w:rsidRPr="001755B0">
        <w:rPr>
          <w:rFonts w:eastAsia="Times New Roman" w:cs="Arial"/>
        </w:rPr>
        <w:t xml:space="preserve"> the query key to the Authorization Key Value Map in Apigee (per environment) with the name specified in the ‘Get [QueryName] QueryKey’</w:t>
      </w:r>
      <w:r>
        <w:rPr>
          <w:rFonts w:eastAsia="Times New Roman" w:cs="Arial"/>
        </w:rPr>
        <w:t xml:space="preserve"> policy.</w:t>
      </w:r>
    </w:p>
    <w:p w14:paraId="1FAF289A" w14:textId="77777777" w:rsidR="001755B0" w:rsidRDefault="00DA5D5F" w:rsidP="001755B0">
      <w:pPr>
        <w:spacing w:before="100" w:beforeAutospacing="1" w:after="100" w:afterAutospacing="1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(A) Get parameter specified in QueryKey policy</w:t>
      </w:r>
    </w:p>
    <w:p w14:paraId="33BE7868" w14:textId="71E2AA60" w:rsidR="00DA5D5F" w:rsidRDefault="00DA5D5F" w:rsidP="001755B0">
      <w:pPr>
        <w:spacing w:before="100" w:beforeAutospacing="1" w:after="100" w:afterAutospacing="1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09F7860" wp14:editId="50D9C4C1">
            <wp:extent cx="5943600" cy="192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4 at 9.25.50 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883" w14:textId="77777777" w:rsidR="001755B0" w:rsidRDefault="001755B0" w:rsidP="001755B0">
      <w:pPr>
        <w:spacing w:before="100" w:beforeAutospacing="1" w:after="100" w:afterAutospacing="1"/>
        <w:rPr>
          <w:rFonts w:ascii="Calibri" w:eastAsia="Times New Roman" w:hAnsi="Calibri" w:cs="Times New Roman"/>
        </w:rPr>
      </w:pPr>
    </w:p>
    <w:p w14:paraId="2D1E096C" w14:textId="5105ED0E" w:rsidR="00DA5D5F" w:rsidRPr="009F6F6F" w:rsidRDefault="00DA5D5F" w:rsidP="001755B0">
      <w:pPr>
        <w:spacing w:before="100" w:beforeAutospacing="1" w:after="100" w:afterAutospacing="1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(B) In each environment’s Authorization KVM</w:t>
      </w:r>
    </w:p>
    <w:p w14:paraId="745C2D54" w14:textId="77777777" w:rsidR="00DA5D5F" w:rsidRDefault="00DA5D5F" w:rsidP="00DA5D5F">
      <w:pPr>
        <w:spacing w:before="100" w:beforeAutospacing="1" w:after="100" w:afterAutospacing="1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4D5DFDB3" wp14:editId="29DA90D9">
            <wp:extent cx="5943600" cy="1383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04 at 9.27.24 A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D918" w14:textId="77777777" w:rsidR="00DA5D5F" w:rsidRDefault="00DA5D5F" w:rsidP="001755B0">
      <w:pPr>
        <w:spacing w:before="100" w:beforeAutospacing="1" w:after="100" w:afterAutospacing="1"/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(C) Add the Query Key value with the name specified in figure A</w:t>
      </w:r>
    </w:p>
    <w:p w14:paraId="38EC1EA6" w14:textId="10A49918" w:rsidR="00DA5D5F" w:rsidRPr="001755B0" w:rsidRDefault="001755B0" w:rsidP="00DA5D5F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</w:rPr>
      </w:pPr>
      <w:r w:rsidRPr="001755B0">
        <w:rPr>
          <w:rFonts w:eastAsia="Times New Roman" w:cs="Arial"/>
        </w:rPr>
        <w:t>C</w:t>
      </w:r>
      <w:r w:rsidR="00DA5D5F" w:rsidRPr="001755B0">
        <w:rPr>
          <w:rFonts w:eastAsia="Times New Roman" w:cs="Arial"/>
        </w:rPr>
        <w:t>lean up the My Example Query flow and KVM poli</w:t>
      </w:r>
      <w:r>
        <w:rPr>
          <w:rFonts w:eastAsia="Times New Roman" w:cs="Arial"/>
        </w:rPr>
        <w:t>cy once you no longer need them.</w:t>
      </w:r>
    </w:p>
    <w:p w14:paraId="74B076D9" w14:textId="6A9D31A8" w:rsidR="00DA5D5F" w:rsidRPr="00443F85" w:rsidRDefault="00DA5D5F" w:rsidP="00DA5D5F">
      <w:pPr>
        <w:spacing w:after="120" w:line="240" w:lineRule="auto"/>
        <w:rPr>
          <w:rFonts w:cs="Arial"/>
        </w:rPr>
      </w:pPr>
    </w:p>
    <w:p w14:paraId="58899DAE" w14:textId="005A69D0" w:rsidR="00665C6E" w:rsidRPr="00447540" w:rsidRDefault="00665C6E" w:rsidP="00447540">
      <w:pPr>
        <w:pStyle w:val="Heading3"/>
      </w:pPr>
      <w:bookmarkStart w:id="15" w:name="_Toc18490833"/>
      <w:bookmarkStart w:id="16" w:name="_Toc18914107"/>
      <w:r w:rsidRPr="009D4DC3">
        <w:t xml:space="preserve">DataHub Response </w:t>
      </w:r>
      <w:bookmarkEnd w:id="15"/>
      <w:r w:rsidR="00552BDA">
        <w:t>Success and Error Samples</w:t>
      </w:r>
      <w:bookmarkEnd w:id="16"/>
    </w:p>
    <w:p w14:paraId="327309E8" w14:textId="1FE00779" w:rsidR="00665C6E" w:rsidRDefault="00665C6E" w:rsidP="00665C6E">
      <w:pPr>
        <w:rPr>
          <w:b/>
        </w:rPr>
      </w:pPr>
    </w:p>
    <w:p w14:paraId="024FE021" w14:textId="6833B389" w:rsidR="00665C6E" w:rsidRDefault="00665C6E" w:rsidP="00552BDA">
      <w:pPr>
        <w:pStyle w:val="Heading4"/>
      </w:pPr>
      <w:bookmarkStart w:id="17" w:name="_Toc18490834"/>
      <w:r>
        <w:t>Success</w:t>
      </w:r>
      <w:bookmarkEnd w:id="17"/>
      <w:r>
        <w:t xml:space="preserve"> </w:t>
      </w:r>
    </w:p>
    <w:p w14:paraId="4D55F31B" w14:textId="58B502D7" w:rsidR="00665C6E" w:rsidRDefault="00552BDA" w:rsidP="00552BDA">
      <w:pPr>
        <w:spacing w:after="0" w:line="240" w:lineRule="auto"/>
      </w:pPr>
      <w:r>
        <w:t>A</w:t>
      </w:r>
      <w:r w:rsidR="00665C6E">
        <w:t xml:space="preserve"> successful DataHub request returns an application/json object with an array of objects in the “results” property</w:t>
      </w:r>
      <w:r>
        <w:t>.</w:t>
      </w:r>
    </w:p>
    <w:p w14:paraId="6DCD7218" w14:textId="43F01E9E" w:rsidR="00665C6E" w:rsidRDefault="00552BDA" w:rsidP="00552BDA">
      <w:pPr>
        <w:spacing w:after="0" w:line="240" w:lineRule="auto"/>
      </w:pPr>
      <w:r>
        <w:t>E</w:t>
      </w:r>
      <w:r w:rsidR="00665C6E">
        <w:t>ach object in the datahub Results array corresponds to one row returned from the target database</w:t>
      </w:r>
      <w:r>
        <w:t xml:space="preserve">, and </w:t>
      </w:r>
      <w:r w:rsidR="00665C6E">
        <w:t>the column headers of the database r</w:t>
      </w:r>
      <w:r>
        <w:t>ows map to the json object keys.</w:t>
      </w:r>
    </w:p>
    <w:p w14:paraId="7D9F059D" w14:textId="77777777" w:rsidR="00665C6E" w:rsidRDefault="00665C6E" w:rsidP="00665C6E"/>
    <w:p w14:paraId="58A764D3" w14:textId="77777777" w:rsidR="00665C6E" w:rsidRDefault="00665C6E" w:rsidP="00665C6E">
      <w:pPr>
        <w:sectPr w:rsidR="00665C6E" w:rsidSect="009F1CC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D3D82F" w14:textId="77777777" w:rsidR="00665C6E" w:rsidRPr="007C1C79" w:rsidRDefault="00665C6E" w:rsidP="00665C6E">
      <w:pPr>
        <w:rPr>
          <w:i/>
        </w:rPr>
      </w:pPr>
      <w:r w:rsidRPr="007C1C79">
        <w:rPr>
          <w:i/>
        </w:rPr>
        <w:t>Sample Rows Returned from Target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366"/>
        <w:gridCol w:w="1356"/>
      </w:tblGrid>
      <w:tr w:rsidR="00665C6E" w14:paraId="55483121" w14:textId="77777777" w:rsidTr="009F1CC4">
        <w:tc>
          <w:tcPr>
            <w:tcW w:w="3116" w:type="dxa"/>
          </w:tcPr>
          <w:p w14:paraId="62193B45" w14:textId="77777777" w:rsidR="00665C6E" w:rsidRDefault="00665C6E" w:rsidP="009F1CC4">
            <w:r>
              <w:t>STUDENT</w:t>
            </w:r>
          </w:p>
        </w:tc>
        <w:tc>
          <w:tcPr>
            <w:tcW w:w="3117" w:type="dxa"/>
          </w:tcPr>
          <w:p w14:paraId="7D03A8BE" w14:textId="77777777" w:rsidR="00665C6E" w:rsidRDefault="00665C6E" w:rsidP="009F1CC4">
            <w:r>
              <w:t>FNAME</w:t>
            </w:r>
          </w:p>
        </w:tc>
        <w:tc>
          <w:tcPr>
            <w:tcW w:w="3117" w:type="dxa"/>
          </w:tcPr>
          <w:p w14:paraId="106D89B2" w14:textId="77777777" w:rsidR="00665C6E" w:rsidRDefault="00665C6E" w:rsidP="009F1CC4">
            <w:r>
              <w:t>LNAME</w:t>
            </w:r>
          </w:p>
        </w:tc>
      </w:tr>
      <w:tr w:rsidR="00665C6E" w14:paraId="0232B822" w14:textId="77777777" w:rsidTr="009F1CC4">
        <w:tc>
          <w:tcPr>
            <w:tcW w:w="3116" w:type="dxa"/>
          </w:tcPr>
          <w:p w14:paraId="4D91930F" w14:textId="77777777" w:rsidR="00665C6E" w:rsidRDefault="00665C6E" w:rsidP="009F1CC4">
            <w:r>
              <w:t>yes</w:t>
            </w:r>
          </w:p>
        </w:tc>
        <w:tc>
          <w:tcPr>
            <w:tcW w:w="3117" w:type="dxa"/>
          </w:tcPr>
          <w:p w14:paraId="64C378A5" w14:textId="77777777" w:rsidR="00665C6E" w:rsidRDefault="00665C6E" w:rsidP="009F1CC4">
            <w:r>
              <w:t>John</w:t>
            </w:r>
          </w:p>
        </w:tc>
        <w:tc>
          <w:tcPr>
            <w:tcW w:w="3117" w:type="dxa"/>
          </w:tcPr>
          <w:p w14:paraId="39F835BF" w14:textId="77777777" w:rsidR="00665C6E" w:rsidRDefault="00665C6E" w:rsidP="009F1CC4">
            <w:r>
              <w:t>Smith</w:t>
            </w:r>
          </w:p>
        </w:tc>
      </w:tr>
      <w:tr w:rsidR="00665C6E" w14:paraId="72C69803" w14:textId="77777777" w:rsidTr="009F1CC4">
        <w:tc>
          <w:tcPr>
            <w:tcW w:w="3116" w:type="dxa"/>
          </w:tcPr>
          <w:p w14:paraId="6ECE985C" w14:textId="77777777" w:rsidR="00665C6E" w:rsidRDefault="00665C6E" w:rsidP="009F1CC4">
            <w:r>
              <w:t>no</w:t>
            </w:r>
          </w:p>
        </w:tc>
        <w:tc>
          <w:tcPr>
            <w:tcW w:w="3117" w:type="dxa"/>
          </w:tcPr>
          <w:p w14:paraId="06B8017B" w14:textId="77777777" w:rsidR="00665C6E" w:rsidRDefault="00665C6E" w:rsidP="009F1CC4">
            <w:r>
              <w:t>Jane</w:t>
            </w:r>
          </w:p>
        </w:tc>
        <w:tc>
          <w:tcPr>
            <w:tcW w:w="3117" w:type="dxa"/>
          </w:tcPr>
          <w:p w14:paraId="5C1D800F" w14:textId="77777777" w:rsidR="00665C6E" w:rsidRDefault="00665C6E" w:rsidP="009F1CC4">
            <w:r>
              <w:t>Doe</w:t>
            </w:r>
          </w:p>
        </w:tc>
      </w:tr>
    </w:tbl>
    <w:p w14:paraId="47C29FC1" w14:textId="77777777" w:rsidR="00665C6E" w:rsidRDefault="00665C6E" w:rsidP="00665C6E"/>
    <w:p w14:paraId="107781EA" w14:textId="77777777" w:rsidR="00665C6E" w:rsidRPr="007C1C79" w:rsidRDefault="00665C6E" w:rsidP="00665C6E">
      <w:pPr>
        <w:rPr>
          <w:i/>
        </w:rPr>
      </w:pPr>
      <w:r>
        <w:br w:type="column"/>
      </w:r>
      <w:r w:rsidRPr="007C1C79">
        <w:rPr>
          <w:i/>
        </w:rPr>
        <w:t>Sample JSON Returned from DataHub</w:t>
      </w:r>
    </w:p>
    <w:p w14:paraId="53BF9678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77FC56BA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"results"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: [</w:t>
      </w:r>
    </w:p>
    <w:p w14:paraId="2698154F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{</w:t>
      </w:r>
    </w:p>
    <w:p w14:paraId="3376355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"STUDENT"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"yes"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58EA1D6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"FNAME"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"John"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877ED56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"LNAME"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"Smith"</w:t>
      </w:r>
    </w:p>
    <w:p w14:paraId="1BD8D70F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},</w:t>
      </w:r>
    </w:p>
    <w:p w14:paraId="68BF139E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ab/>
        <w:t xml:space="preserve">     {</w:t>
      </w:r>
    </w:p>
    <w:p w14:paraId="056084F2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"STUDENT"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"no"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62D8E4A5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"FNAME"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"Jane"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35C878A4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    </w:t>
      </w:r>
      <w:r w:rsidRPr="003C5035">
        <w:rPr>
          <w:rFonts w:ascii="Menlo" w:eastAsia="Times New Roman" w:hAnsi="Menlo" w:cs="Menlo"/>
          <w:color w:val="A31515"/>
          <w:sz w:val="15"/>
          <w:szCs w:val="15"/>
        </w:rPr>
        <w:t>"LNAME"</w:t>
      </w: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3C5035">
        <w:rPr>
          <w:rFonts w:ascii="Menlo" w:eastAsia="Times New Roman" w:hAnsi="Menlo" w:cs="Menlo"/>
          <w:color w:val="0451A5"/>
          <w:sz w:val="15"/>
          <w:szCs w:val="15"/>
        </w:rPr>
        <w:t>"Doe"</w:t>
      </w:r>
    </w:p>
    <w:p w14:paraId="66C8F83A" w14:textId="77777777" w:rsidR="00665C6E" w:rsidRPr="003C5035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5"/>
          <w:szCs w:val="15"/>
        </w:rPr>
      </w:pPr>
      <w:r w:rsidRPr="003C5035">
        <w:rPr>
          <w:rFonts w:ascii="Menlo" w:eastAsia="Times New Roman" w:hAnsi="Menlo" w:cs="Menlo"/>
          <w:color w:val="000000"/>
          <w:sz w:val="15"/>
          <w:szCs w:val="15"/>
        </w:rPr>
        <w:t xml:space="preserve">        },</w:t>
      </w:r>
    </w:p>
    <w:p w14:paraId="46E7C24E" w14:textId="77777777" w:rsidR="00665C6E" w:rsidRPr="00641EF0" w:rsidRDefault="00665C6E" w:rsidP="00665C6E">
      <w:pPr>
        <w:shd w:val="clear" w:color="auto" w:fill="FFFFFE"/>
        <w:spacing w:line="270" w:lineRule="atLeast"/>
        <w:ind w:left="1080"/>
        <w:rPr>
          <w:rFonts w:ascii="Menlo" w:eastAsia="Times New Roman" w:hAnsi="Menlo" w:cs="Menlo"/>
          <w:color w:val="000000"/>
          <w:sz w:val="18"/>
          <w:szCs w:val="18"/>
        </w:rPr>
      </w:pPr>
      <w:r w:rsidRPr="00641EF0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44160021" w14:textId="77777777" w:rsidR="00665C6E" w:rsidRPr="00641EF0" w:rsidRDefault="00665C6E" w:rsidP="00665C6E">
      <w:pPr>
        <w:shd w:val="clear" w:color="auto" w:fill="FFFFFE"/>
        <w:spacing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641EF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1B0FCB01" w14:textId="77777777" w:rsidR="00665C6E" w:rsidRDefault="00665C6E" w:rsidP="00665C6E">
      <w:pPr>
        <w:pStyle w:val="ListParagraph"/>
        <w:ind w:left="2160"/>
        <w:sectPr w:rsidR="00665C6E" w:rsidSect="009F1C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BB71C" w14:textId="77777777" w:rsidR="00665C6E" w:rsidRDefault="00665C6E" w:rsidP="00665C6E">
      <w:pPr>
        <w:pStyle w:val="ListParagraph"/>
        <w:ind w:left="2160"/>
      </w:pPr>
    </w:p>
    <w:p w14:paraId="38DC8D88" w14:textId="77777777" w:rsidR="00665C6E" w:rsidRPr="00A9325D" w:rsidRDefault="00665C6E" w:rsidP="00552BDA">
      <w:pPr>
        <w:pStyle w:val="Heading4"/>
      </w:pPr>
      <w:bookmarkStart w:id="18" w:name="_Toc18490835"/>
      <w:r w:rsidRPr="00A9325D">
        <w:t>Error</w:t>
      </w:r>
      <w:bookmarkEnd w:id="18"/>
    </w:p>
    <w:p w14:paraId="002E6484" w14:textId="12F8172D" w:rsidR="00665C6E" w:rsidRDefault="00665C6E" w:rsidP="00552BDA">
      <w:pPr>
        <w:spacing w:after="0" w:line="240" w:lineRule="auto"/>
      </w:pPr>
      <w:r>
        <w:t>An error datahub request returns an application/json object with an error detail in the “error” property</w:t>
      </w:r>
      <w:r w:rsidR="00552BDA">
        <w:t>.</w:t>
      </w:r>
      <w:r>
        <w:t xml:space="preserve"> </w:t>
      </w:r>
    </w:p>
    <w:p w14:paraId="0ED2C1B8" w14:textId="33018E01" w:rsidR="00665C6E" w:rsidRDefault="00665C6E" w:rsidP="00552BDA">
      <w:pPr>
        <w:spacing w:after="0" w:line="240" w:lineRule="auto"/>
      </w:pPr>
      <w:r>
        <w:t xml:space="preserve">The DataHub Open API Spec lists specific error types/codes </w:t>
      </w:r>
      <w:r w:rsidR="00552BDA">
        <w:t>.</w:t>
      </w:r>
    </w:p>
    <w:p w14:paraId="465E784D" w14:textId="77777777" w:rsidR="00665C6E" w:rsidRDefault="00665C6E" w:rsidP="00665C6E"/>
    <w:p w14:paraId="3139FC9E" w14:textId="77777777" w:rsidR="00665C6E" w:rsidRDefault="00665C6E" w:rsidP="00665C6E">
      <w:r>
        <w:t xml:space="preserve">Sample error returned from DataHub </w:t>
      </w:r>
    </w:p>
    <w:p w14:paraId="189D12DE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>{</w:t>
      </w:r>
    </w:p>
    <w:p w14:paraId="5CE97D7A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"error"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: {</w:t>
      </w:r>
    </w:p>
    <w:p w14:paraId="047F9F52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"message"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"Query not found."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F0FB2C7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"code"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9885A"/>
          <w:sz w:val="15"/>
          <w:szCs w:val="15"/>
        </w:rPr>
        <w:t>404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084A59A8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"type"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"ResourceNotFoundError"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>,</w:t>
      </w:r>
    </w:p>
    <w:p w14:paraId="275E41F2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    </w:t>
      </w:r>
      <w:r w:rsidRPr="009D4DC3">
        <w:rPr>
          <w:rFonts w:ascii="Menlo" w:eastAsia="Times New Roman" w:hAnsi="Menlo" w:cs="Menlo"/>
          <w:color w:val="A31515"/>
          <w:sz w:val="15"/>
          <w:szCs w:val="15"/>
        </w:rPr>
        <w:t>"category"</w:t>
      </w: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: </w:t>
      </w:r>
      <w:r w:rsidRPr="009D4DC3">
        <w:rPr>
          <w:rFonts w:ascii="Menlo" w:eastAsia="Times New Roman" w:hAnsi="Menlo" w:cs="Menlo"/>
          <w:color w:val="0451A5"/>
          <w:sz w:val="15"/>
          <w:szCs w:val="15"/>
        </w:rPr>
        <w:t>"CustomerConfigurationError"</w:t>
      </w:r>
    </w:p>
    <w:p w14:paraId="6614B86E" w14:textId="77777777" w:rsidR="00665C6E" w:rsidRPr="009D4DC3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 xml:space="preserve">    }</w:t>
      </w:r>
    </w:p>
    <w:p w14:paraId="43F433CB" w14:textId="77777777" w:rsidR="00665C6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5"/>
          <w:szCs w:val="15"/>
        </w:rPr>
      </w:pPr>
      <w:r w:rsidRPr="009D4DC3">
        <w:rPr>
          <w:rFonts w:ascii="Menlo" w:eastAsia="Times New Roman" w:hAnsi="Menlo" w:cs="Menlo"/>
          <w:color w:val="000000"/>
          <w:sz w:val="15"/>
          <w:szCs w:val="15"/>
        </w:rPr>
        <w:t>}</w:t>
      </w:r>
    </w:p>
    <w:p w14:paraId="4A546747" w14:textId="3C93B712" w:rsidR="00665C6E" w:rsidRPr="00432474" w:rsidRDefault="00432474" w:rsidP="00432474">
      <w:pPr>
        <w:pStyle w:val="Heading3"/>
      </w:pPr>
      <w:bookmarkStart w:id="19" w:name="_Toc18490838"/>
      <w:bookmarkStart w:id="20" w:name="_Toc18914108"/>
      <w:r>
        <w:t>Li</w:t>
      </w:r>
      <w:r w:rsidR="00665C6E" w:rsidRPr="00432474">
        <w:t>mits: Best Practices and Policies</w:t>
      </w:r>
      <w:bookmarkEnd w:id="19"/>
      <w:bookmarkEnd w:id="20"/>
    </w:p>
    <w:p w14:paraId="72DF13CA" w14:textId="7242E1BA" w:rsidR="00665C6E" w:rsidRDefault="00665C6E" w:rsidP="00665C6E">
      <w:r>
        <w:t>DataHub payload and timeout limits are hard limits within which we have to work. DataHub best practices and policies for working within these are below.</w:t>
      </w:r>
    </w:p>
    <w:p w14:paraId="0ADA9DFA" w14:textId="77777777" w:rsidR="00432474" w:rsidRDefault="00432474" w:rsidP="00665C6E"/>
    <w:p w14:paraId="73072C5C" w14:textId="77777777" w:rsidR="00665C6E" w:rsidRPr="00A64A4E" w:rsidRDefault="00665C6E" w:rsidP="00432474">
      <w:pPr>
        <w:pStyle w:val="Heading4"/>
      </w:pPr>
      <w:bookmarkStart w:id="21" w:name="_Toc18490839"/>
      <w:r w:rsidRPr="00A64A4E">
        <w:t>Large Queries</w:t>
      </w:r>
      <w:bookmarkEnd w:id="21"/>
    </w:p>
    <w:p w14:paraId="753DA88D" w14:textId="77777777" w:rsidR="00665C6E" w:rsidRDefault="00665C6E" w:rsidP="00665C6E">
      <w:r>
        <w:t>Queries which exceed the DataHub response size limitation return a 413 error:</w:t>
      </w:r>
    </w:p>
    <w:p w14:paraId="59780F0D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6DE639DD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"error"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: {</w:t>
      </w:r>
    </w:p>
    <w:p w14:paraId="3446D2D0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"message"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"Response Payload exceeds 6MB maximum. Configure as Large query."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C125566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"code"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9885A"/>
          <w:sz w:val="18"/>
          <w:szCs w:val="18"/>
        </w:rPr>
        <w:t>413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662E9BF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"type"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"ResponseTooLargeError"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BAE0700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A9325D">
        <w:rPr>
          <w:rFonts w:ascii="Menlo" w:eastAsia="Times New Roman" w:hAnsi="Menlo" w:cs="Menlo"/>
          <w:color w:val="A31515"/>
          <w:sz w:val="18"/>
          <w:szCs w:val="18"/>
        </w:rPr>
        <w:t>"category"</w:t>
      </w: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A9325D">
        <w:rPr>
          <w:rFonts w:ascii="Menlo" w:eastAsia="Times New Roman" w:hAnsi="Menlo" w:cs="Menlo"/>
          <w:color w:val="0451A5"/>
          <w:sz w:val="18"/>
          <w:szCs w:val="18"/>
        </w:rPr>
        <w:t>"CustomerConfigurationError"</w:t>
      </w:r>
    </w:p>
    <w:p w14:paraId="7E4F50D4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3DCE04F" w14:textId="77777777" w:rsidR="00665C6E" w:rsidRPr="00A9325D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A9325D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B9603F4" w14:textId="77777777" w:rsidR="00665C6E" w:rsidRDefault="00665C6E" w:rsidP="00665C6E">
      <w:r>
        <w:t xml:space="preserve"> </w:t>
      </w:r>
    </w:p>
    <w:p w14:paraId="15226589" w14:textId="77777777" w:rsidR="00665C6E" w:rsidRDefault="00665C6E" w:rsidP="00665C6E">
      <w:r>
        <w:t xml:space="preserve">Queries which exceed the limit may be configured to return instead a presigned url in the response body to retrieve the response which will expire in 30 seconds. </w:t>
      </w:r>
    </w:p>
    <w:p w14:paraId="7D1786EE" w14:textId="155463EE" w:rsidR="00432474" w:rsidRDefault="00665C6E" w:rsidP="00432474">
      <w:pPr>
        <w:spacing w:after="0" w:line="240" w:lineRule="auto"/>
      </w:pPr>
      <w:r>
        <w:t xml:space="preserve">However additional evaluation/approval is required to configure a large query as it must be determined that your query follows best practices (e.g. the large query is efficient/justified and would </w:t>
      </w:r>
      <w:r>
        <w:lastRenderedPageBreak/>
        <w:t xml:space="preserve">not be better suited to a series of smaller queries) and  performance/cost impacts must be considered. </w:t>
      </w:r>
    </w:p>
    <w:p w14:paraId="3CB0BC3B" w14:textId="3CB6540B" w:rsidR="00665C6E" w:rsidRDefault="00432474" w:rsidP="00432474">
      <w:pPr>
        <w:spacing w:after="0" w:line="240" w:lineRule="auto"/>
      </w:pPr>
      <w:r>
        <w:rPr>
          <w:b/>
        </w:rPr>
        <w:t>IMPORTANT NOTE:</w:t>
      </w:r>
      <w:r>
        <w:t xml:space="preserve"> Y</w:t>
      </w:r>
      <w:r w:rsidR="00665C6E">
        <w:t xml:space="preserve">ou are still constrained by the DataHub Timeout limit </w:t>
      </w:r>
      <w:r>
        <w:t>to return data on a large query!</w:t>
      </w:r>
    </w:p>
    <w:p w14:paraId="6331FF5E" w14:textId="77777777" w:rsidR="00665C6E" w:rsidRDefault="00665C6E" w:rsidP="00665C6E"/>
    <w:p w14:paraId="101EB47C" w14:textId="77777777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4FEABC7" w14:textId="77777777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260EE">
        <w:rPr>
          <w:rFonts w:ascii="Menlo" w:eastAsia="Times New Roman" w:hAnsi="Menlo" w:cs="Menlo"/>
          <w:color w:val="A31515"/>
          <w:sz w:val="18"/>
          <w:szCs w:val="18"/>
        </w:rPr>
        <w:t>"url"</w:t>
      </w:r>
      <w:r w:rsidRPr="007260EE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"https://datahub-large-response-</w:t>
      </w:r>
      <w:r>
        <w:rPr>
          <w:rFonts w:ascii="Menlo" w:eastAsia="Times New Roman" w:hAnsi="Menlo" w:cs="Menlo"/>
          <w:color w:val="0451A5"/>
          <w:sz w:val="18"/>
          <w:szCs w:val="18"/>
        </w:rPr>
        <w:t>prod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.s3.us-east-2.amazonaws.com/</w:t>
      </w:r>
      <w:r>
        <w:rPr>
          <w:rFonts w:ascii="Menlo" w:eastAsia="Times New Roman" w:hAnsi="Menlo" w:cs="Menlo"/>
          <w:color w:val="0451A5"/>
          <w:sz w:val="18"/>
          <w:szCs w:val="18"/>
        </w:rPr>
        <w:t>xyz123</w:t>
      </w:r>
      <w:r w:rsidRPr="007260EE">
        <w:rPr>
          <w:rFonts w:ascii="Menlo" w:eastAsia="Times New Roman" w:hAnsi="Menlo" w:cs="Menlo"/>
          <w:color w:val="0451A5"/>
          <w:sz w:val="18"/>
          <w:szCs w:val="18"/>
        </w:rPr>
        <w:t>"</w:t>
      </w:r>
    </w:p>
    <w:p w14:paraId="3910A3A5" w14:textId="201FC63D" w:rsidR="00665C6E" w:rsidRPr="007260EE" w:rsidRDefault="00665C6E" w:rsidP="00665C6E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7260EE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4E62CD2D" w14:textId="77777777" w:rsidR="00665C6E" w:rsidRPr="0085368B" w:rsidRDefault="00665C6E" w:rsidP="00665C6E"/>
    <w:p w14:paraId="78E977FE" w14:textId="70BC7031" w:rsidR="00665C6E" w:rsidRDefault="00665C6E" w:rsidP="00432474">
      <w:pPr>
        <w:pStyle w:val="Heading4"/>
      </w:pPr>
      <w:bookmarkStart w:id="22" w:name="_Toc18490841"/>
      <w:r>
        <w:t>504 Gateway Timeout</w:t>
      </w:r>
      <w:bookmarkEnd w:id="22"/>
    </w:p>
    <w:p w14:paraId="2FAD3FCA" w14:textId="77777777" w:rsidR="00665C6E" w:rsidRDefault="00665C6E" w:rsidP="00432474">
      <w:pPr>
        <w:spacing w:after="0" w:line="240" w:lineRule="auto"/>
      </w:pPr>
      <w:r>
        <w:t xml:space="preserve">It is recommended you add logic in your application to handle a 504 Gateway Timeout error, to account for the occasion when DataHub can’t respond in a timely manner. </w:t>
      </w:r>
    </w:p>
    <w:p w14:paraId="2474ED3E" w14:textId="77777777" w:rsidR="00665C6E" w:rsidRDefault="00665C6E" w:rsidP="00432474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Retry the request one subsequent time </w:t>
      </w:r>
    </w:p>
    <w:p w14:paraId="00DA8F3F" w14:textId="2B2603F6" w:rsidR="00665C6E" w:rsidRDefault="00665C6E" w:rsidP="00432474">
      <w:pPr>
        <w:pStyle w:val="ListParagraph"/>
        <w:numPr>
          <w:ilvl w:val="0"/>
          <w:numId w:val="42"/>
        </w:numPr>
        <w:spacing w:after="0" w:line="240" w:lineRule="auto"/>
      </w:pPr>
      <w:r>
        <w:t xml:space="preserve">Failing that, gracefully </w:t>
      </w:r>
      <w:r w:rsidR="00581ADC">
        <w:t xml:space="preserve">return a friendly error and </w:t>
      </w:r>
      <w:r>
        <w:t xml:space="preserve">handle the user experience rather than returning default </w:t>
      </w:r>
      <w:r w:rsidR="00581ADC">
        <w:t xml:space="preserve">DataHub </w:t>
      </w:r>
      <w:r>
        <w:t xml:space="preserve">error  </w:t>
      </w:r>
    </w:p>
    <w:p w14:paraId="5BB615F0" w14:textId="77777777" w:rsidR="00665C6E" w:rsidRDefault="00665C6E" w:rsidP="00432474">
      <w:pPr>
        <w:spacing w:after="0" w:line="240" w:lineRule="auto"/>
      </w:pPr>
      <w:r>
        <w:t xml:space="preserve">If your query runs longer than the timeout limits allow you will need to make changes to your query. </w:t>
      </w:r>
    </w:p>
    <w:p w14:paraId="73747EEA" w14:textId="77777777" w:rsidR="00665C6E" w:rsidRPr="00A9325D" w:rsidRDefault="00665C6E" w:rsidP="00665C6E"/>
    <w:p w14:paraId="5735BD6F" w14:textId="77777777" w:rsidR="00665C6E" w:rsidRPr="002915E4" w:rsidRDefault="00665C6E" w:rsidP="00665C6E"/>
    <w:p w14:paraId="43B130DA" w14:textId="77777777" w:rsidR="00665C6E" w:rsidRDefault="00665C6E" w:rsidP="00665C6E">
      <w:pPr>
        <w:rPr>
          <w:rFonts w:ascii="Menlo" w:eastAsia="Times New Roman" w:hAnsi="Menlo" w:cs="Menlo"/>
          <w:color w:val="000000"/>
          <w:sz w:val="15"/>
          <w:szCs w:val="15"/>
        </w:rPr>
      </w:pPr>
    </w:p>
    <w:sectPr w:rsidR="00665C6E" w:rsidSect="00500D91">
      <w:footerReference w:type="default" r:id="rId32"/>
      <w:pgSz w:w="12240" w:h="15840"/>
      <w:pgMar w:top="1440" w:right="1152" w:bottom="1440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761A4" w14:textId="77777777" w:rsidR="00DF74FB" w:rsidRDefault="00DF74FB" w:rsidP="003A1FF2">
      <w:pPr>
        <w:spacing w:after="0" w:line="240" w:lineRule="auto"/>
      </w:pPr>
      <w:r>
        <w:separator/>
      </w:r>
    </w:p>
  </w:endnote>
  <w:endnote w:type="continuationSeparator" w:id="0">
    <w:p w14:paraId="01330316" w14:textId="77777777" w:rsidR="00DF74FB" w:rsidRDefault="00DF74FB" w:rsidP="003A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﷽﷽﷽﷽﷽﷽觃ዀ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D7C7E" w14:textId="77777777" w:rsidR="006C6E96" w:rsidRDefault="006C6E96" w:rsidP="000C4D3F">
    <w:pPr>
      <w:pStyle w:val="Footer"/>
      <w:pBdr>
        <w:top w:val="single" w:sz="4" w:space="1" w:color="4E2A84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DE1C1" w14:textId="5F943AF3" w:rsidR="006C6E96" w:rsidRDefault="006C6E96" w:rsidP="00500D91">
    <w:pPr>
      <w:pStyle w:val="Footer"/>
      <w:pBdr>
        <w:top w:val="single" w:sz="4" w:space="1" w:color="4E2A84"/>
      </w:pBdr>
      <w:jc w:val="right"/>
      <w:rPr>
        <w:rFonts w:ascii="Arial Narrow" w:hAnsi="Arial Narrow"/>
        <w:b/>
        <w:bCs/>
        <w:szCs w:val="24"/>
      </w:rPr>
    </w:pPr>
    <w:r>
      <w:rPr>
        <w:rFonts w:ascii="Arial Narrow" w:hAnsi="Arial Narrow"/>
        <w:b/>
        <w:bCs/>
        <w:sz w:val="20"/>
        <w:szCs w:val="24"/>
      </w:rPr>
      <w:t xml:space="preserve">Application Development &amp; Operations </w:t>
    </w:r>
    <w:r>
      <w:rPr>
        <w:rFonts w:ascii="Arial Narrow" w:hAnsi="Arial Narrow"/>
        <w:b/>
        <w:bCs/>
        <w:sz w:val="20"/>
        <w:szCs w:val="24"/>
      </w:rPr>
      <w:tab/>
    </w:r>
    <w:r>
      <w:rPr>
        <w:rFonts w:ascii="Arial Narrow" w:hAnsi="Arial Narrow"/>
        <w:b/>
        <w:bCs/>
        <w:sz w:val="20"/>
        <w:szCs w:val="24"/>
      </w:rPr>
      <w:tab/>
    </w:r>
    <w:r w:rsidRPr="00221706">
      <w:rPr>
        <w:rFonts w:ascii="Arial Narrow" w:hAnsi="Arial Narrow"/>
        <w:sz w:val="20"/>
      </w:rPr>
      <w:t xml:space="preserve">Page </w:t>
    </w:r>
    <w:r w:rsidRPr="00221706">
      <w:rPr>
        <w:rFonts w:ascii="Arial Narrow" w:hAnsi="Arial Narrow"/>
        <w:b/>
        <w:bCs/>
        <w:szCs w:val="24"/>
      </w:rPr>
      <w:fldChar w:fldCharType="begin"/>
    </w:r>
    <w:r w:rsidRPr="00221706">
      <w:rPr>
        <w:rFonts w:ascii="Arial Narrow" w:hAnsi="Arial Narrow"/>
        <w:b/>
        <w:bCs/>
        <w:sz w:val="20"/>
      </w:rPr>
      <w:instrText xml:space="preserve"> PAGE </w:instrText>
    </w:r>
    <w:r w:rsidRPr="00221706">
      <w:rPr>
        <w:rFonts w:ascii="Arial Narrow" w:hAnsi="Arial Narrow"/>
        <w:b/>
        <w:bCs/>
        <w:szCs w:val="24"/>
      </w:rPr>
      <w:fldChar w:fldCharType="separate"/>
    </w:r>
    <w:r w:rsidR="00CA098E">
      <w:rPr>
        <w:rFonts w:ascii="Arial Narrow" w:hAnsi="Arial Narrow"/>
        <w:b/>
        <w:bCs/>
        <w:noProof/>
        <w:sz w:val="20"/>
      </w:rPr>
      <w:t>9</w:t>
    </w:r>
    <w:r w:rsidRPr="00221706">
      <w:rPr>
        <w:rFonts w:ascii="Arial Narrow" w:hAnsi="Arial Narrow"/>
        <w:b/>
        <w:bCs/>
        <w:szCs w:val="24"/>
      </w:rPr>
      <w:fldChar w:fldCharType="end"/>
    </w:r>
    <w:r w:rsidRPr="00221706">
      <w:rPr>
        <w:rFonts w:ascii="Arial Narrow" w:hAnsi="Arial Narrow"/>
        <w:sz w:val="20"/>
      </w:rPr>
      <w:t xml:space="preserve"> of </w:t>
    </w:r>
    <w:r w:rsidRPr="00221706">
      <w:rPr>
        <w:rFonts w:ascii="Arial Narrow" w:hAnsi="Arial Narrow"/>
        <w:b/>
        <w:bCs/>
        <w:szCs w:val="24"/>
      </w:rPr>
      <w:fldChar w:fldCharType="begin"/>
    </w:r>
    <w:r w:rsidRPr="00221706">
      <w:rPr>
        <w:rFonts w:ascii="Arial Narrow" w:hAnsi="Arial Narrow"/>
        <w:b/>
        <w:bCs/>
        <w:sz w:val="20"/>
      </w:rPr>
      <w:instrText xml:space="preserve"> NUMPAGES  </w:instrText>
    </w:r>
    <w:r w:rsidRPr="00221706">
      <w:rPr>
        <w:rFonts w:ascii="Arial Narrow" w:hAnsi="Arial Narrow"/>
        <w:b/>
        <w:bCs/>
        <w:szCs w:val="24"/>
      </w:rPr>
      <w:fldChar w:fldCharType="separate"/>
    </w:r>
    <w:r w:rsidR="00CA098E">
      <w:rPr>
        <w:rFonts w:ascii="Arial Narrow" w:hAnsi="Arial Narrow"/>
        <w:b/>
        <w:bCs/>
        <w:noProof/>
        <w:sz w:val="20"/>
      </w:rPr>
      <w:t>18</w:t>
    </w:r>
    <w:r w:rsidRPr="00221706">
      <w:rPr>
        <w:rFonts w:ascii="Arial Narrow" w:hAnsi="Arial Narrow"/>
        <w:b/>
        <w:bCs/>
        <w:szCs w:val="24"/>
      </w:rPr>
      <w:fldChar w:fldCharType="end"/>
    </w:r>
  </w:p>
  <w:p w14:paraId="57792D2A" w14:textId="3CEEBC30" w:rsidR="006C6E96" w:rsidRPr="00500D91" w:rsidRDefault="006C6E96" w:rsidP="00500D91">
    <w:pPr>
      <w:pStyle w:val="Footer"/>
    </w:pPr>
    <w:r>
      <w:rPr>
        <w:rFonts w:ascii="Arial Narrow" w:hAnsi="Arial Narrow"/>
        <w:sz w:val="20"/>
        <w:szCs w:val="21"/>
      </w:rPr>
      <w:t xml:space="preserve"> NU</w:t>
    </w:r>
    <w:r w:rsidRPr="0031288E">
      <w:rPr>
        <w:rFonts w:ascii="Arial Narrow" w:hAnsi="Arial Narrow"/>
        <w:sz w:val="20"/>
        <w:szCs w:val="21"/>
      </w:rPr>
      <w:t xml:space="preserve">IT – Administrative Systems                          </w:t>
    </w:r>
    <w:r>
      <w:rPr>
        <w:rFonts w:ascii="Arial Narrow" w:hAnsi="Arial Narrow"/>
        <w:sz w:val="20"/>
        <w:szCs w:val="21"/>
      </w:rPr>
      <w:t xml:space="preserve">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27933" w14:textId="23DC924B" w:rsidR="006C6E96" w:rsidRPr="00C14FBA" w:rsidRDefault="006C6E96" w:rsidP="00C14FBA">
    <w:pPr>
      <w:pStyle w:val="Footer"/>
      <w:jc w:val="center"/>
      <w:rPr>
        <w:color w:val="4E2A84"/>
      </w:rPr>
    </w:pPr>
    <w:r w:rsidRPr="00C14FBA">
      <w:rPr>
        <w:color w:val="4E2A84"/>
      </w:rPr>
      <w:t xml:space="preserve">Page </w:t>
    </w:r>
    <w:r w:rsidRPr="00C14FBA">
      <w:rPr>
        <w:color w:val="4E2A84"/>
      </w:rPr>
      <w:fldChar w:fldCharType="begin"/>
    </w:r>
    <w:r w:rsidRPr="00C14FBA">
      <w:rPr>
        <w:color w:val="4E2A84"/>
      </w:rPr>
      <w:instrText xml:space="preserve"> PAGE  \* Arabic  \* MERGEFORMAT </w:instrText>
    </w:r>
    <w:r w:rsidRPr="00C14FBA">
      <w:rPr>
        <w:color w:val="4E2A84"/>
      </w:rPr>
      <w:fldChar w:fldCharType="separate"/>
    </w:r>
    <w:r w:rsidR="00CA098E">
      <w:rPr>
        <w:noProof/>
        <w:color w:val="4E2A84"/>
      </w:rPr>
      <w:t>18</w:t>
    </w:r>
    <w:r w:rsidRPr="00C14FBA">
      <w:rPr>
        <w:color w:val="4E2A84"/>
      </w:rPr>
      <w:fldChar w:fldCharType="end"/>
    </w:r>
    <w:r w:rsidRPr="00C14FBA">
      <w:rPr>
        <w:color w:val="4E2A84"/>
      </w:rPr>
      <w:t xml:space="preserve"> of </w:t>
    </w:r>
    <w:r w:rsidRPr="00C14FBA">
      <w:rPr>
        <w:color w:val="4E2A84"/>
      </w:rPr>
      <w:fldChar w:fldCharType="begin"/>
    </w:r>
    <w:r w:rsidRPr="00C14FBA">
      <w:rPr>
        <w:color w:val="4E2A84"/>
      </w:rPr>
      <w:instrText xml:space="preserve"> NUMPAGES  \* Arabic  \* MERGEFORMAT </w:instrText>
    </w:r>
    <w:r w:rsidRPr="00C14FBA">
      <w:rPr>
        <w:color w:val="4E2A84"/>
      </w:rPr>
      <w:fldChar w:fldCharType="separate"/>
    </w:r>
    <w:r w:rsidR="00CA098E">
      <w:rPr>
        <w:noProof/>
        <w:color w:val="4E2A84"/>
      </w:rPr>
      <w:t>18</w:t>
    </w:r>
    <w:r w:rsidRPr="00C14FBA">
      <w:rPr>
        <w:color w:val="4E2A8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EA5B6" w14:textId="77777777" w:rsidR="00DF74FB" w:rsidRDefault="00DF74FB" w:rsidP="003A1FF2">
      <w:pPr>
        <w:spacing w:after="0" w:line="240" w:lineRule="auto"/>
      </w:pPr>
      <w:r>
        <w:separator/>
      </w:r>
    </w:p>
  </w:footnote>
  <w:footnote w:type="continuationSeparator" w:id="0">
    <w:p w14:paraId="69B73B97" w14:textId="77777777" w:rsidR="00DF74FB" w:rsidRDefault="00DF74FB" w:rsidP="003A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43DE2" w14:textId="2F2E1704" w:rsidR="006C6E96" w:rsidRDefault="006C6E96" w:rsidP="00500D91">
    <w:pPr>
      <w:pStyle w:val="Header"/>
      <w:jc w:val="right"/>
      <w:rPr>
        <w:rFonts w:ascii="Arial Narrow" w:hAnsi="Arial Narrow" w:cs="Arial"/>
        <w:sz w:val="24"/>
      </w:rPr>
    </w:pPr>
    <w:r w:rsidRPr="003A1FF2">
      <w:rPr>
        <w:rFonts w:ascii="Arial Narrow" w:hAnsi="Arial Narrow" w:cs="Arial"/>
        <w:noProof/>
      </w:rPr>
      <w:drawing>
        <wp:anchor distT="0" distB="0" distL="114300" distR="114300" simplePos="0" relativeHeight="251658240" behindDoc="0" locked="0" layoutInCell="1" allowOverlap="1" wp14:anchorId="215E052A" wp14:editId="6B7A408C">
          <wp:simplePos x="0" y="0"/>
          <wp:positionH relativeFrom="column">
            <wp:posOffset>19050</wp:posOffset>
          </wp:positionH>
          <wp:positionV relativeFrom="paragraph">
            <wp:posOffset>5715</wp:posOffset>
          </wp:positionV>
          <wp:extent cx="1583690" cy="438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westernIT_justified_purple 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768" t="20840" b="25904"/>
                  <a:stretch/>
                </pic:blipFill>
                <pic:spPr bwMode="auto">
                  <a:xfrm>
                    <a:off x="0" y="0"/>
                    <a:ext cx="1583690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A76DE3F" w14:textId="53C89D87" w:rsidR="006C6E96" w:rsidRPr="000C4D3F" w:rsidRDefault="006C6E96" w:rsidP="00500D91">
    <w:pPr>
      <w:pStyle w:val="Header"/>
      <w:spacing w:after="60"/>
      <w:jc w:val="right"/>
      <w:rPr>
        <w:rFonts w:ascii="Arial Narrow" w:hAnsi="Arial Narrow"/>
        <w:sz w:val="28"/>
      </w:rPr>
    </w:pPr>
    <w:r>
      <w:rPr>
        <w:rFonts w:ascii="Arial Narrow" w:hAnsi="Arial Narrow"/>
        <w:b/>
        <w:bCs/>
        <w:sz w:val="28"/>
        <w:szCs w:val="21"/>
      </w:rPr>
      <w:t>DataHub</w:t>
    </w:r>
  </w:p>
  <w:p w14:paraId="025D91EF" w14:textId="77777777" w:rsidR="006C6E96" w:rsidRDefault="006C6E96" w:rsidP="000C4D3F">
    <w:pPr>
      <w:pStyle w:val="Header"/>
      <w:pBdr>
        <w:top w:val="single" w:sz="4" w:space="1" w:color="4E2A84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54A5"/>
    <w:multiLevelType w:val="hybridMultilevel"/>
    <w:tmpl w:val="22F6B85A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15D45"/>
    <w:multiLevelType w:val="hybridMultilevel"/>
    <w:tmpl w:val="B9383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5AB"/>
    <w:multiLevelType w:val="hybridMultilevel"/>
    <w:tmpl w:val="328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51C5"/>
    <w:multiLevelType w:val="hybridMultilevel"/>
    <w:tmpl w:val="5FE6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5FDD"/>
    <w:multiLevelType w:val="hybridMultilevel"/>
    <w:tmpl w:val="FDB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136C"/>
    <w:multiLevelType w:val="hybridMultilevel"/>
    <w:tmpl w:val="84A0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1372D"/>
    <w:multiLevelType w:val="hybridMultilevel"/>
    <w:tmpl w:val="D0C2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C6141"/>
    <w:multiLevelType w:val="hybridMultilevel"/>
    <w:tmpl w:val="70A61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74875"/>
    <w:multiLevelType w:val="hybridMultilevel"/>
    <w:tmpl w:val="F0B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63833"/>
    <w:multiLevelType w:val="hybridMultilevel"/>
    <w:tmpl w:val="99B65C1A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040B2"/>
    <w:multiLevelType w:val="hybridMultilevel"/>
    <w:tmpl w:val="707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D682E"/>
    <w:multiLevelType w:val="hybridMultilevel"/>
    <w:tmpl w:val="D724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1421"/>
    <w:multiLevelType w:val="hybridMultilevel"/>
    <w:tmpl w:val="DAEA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A7576"/>
    <w:multiLevelType w:val="hybridMultilevel"/>
    <w:tmpl w:val="32042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96222"/>
    <w:multiLevelType w:val="hybridMultilevel"/>
    <w:tmpl w:val="FDE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F79A7"/>
    <w:multiLevelType w:val="hybridMultilevel"/>
    <w:tmpl w:val="A1C4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5284"/>
    <w:multiLevelType w:val="hybridMultilevel"/>
    <w:tmpl w:val="A03E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82AD8"/>
    <w:multiLevelType w:val="multilevel"/>
    <w:tmpl w:val="285A7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B64ED"/>
    <w:multiLevelType w:val="hybridMultilevel"/>
    <w:tmpl w:val="19542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A7873"/>
    <w:multiLevelType w:val="hybridMultilevel"/>
    <w:tmpl w:val="0B2E4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2E16EB"/>
    <w:multiLevelType w:val="hybridMultilevel"/>
    <w:tmpl w:val="10E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C0D0D"/>
    <w:multiLevelType w:val="hybridMultilevel"/>
    <w:tmpl w:val="321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609E9"/>
    <w:multiLevelType w:val="hybridMultilevel"/>
    <w:tmpl w:val="DCE8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B73D0"/>
    <w:multiLevelType w:val="hybridMultilevel"/>
    <w:tmpl w:val="AA80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46969"/>
    <w:multiLevelType w:val="hybridMultilevel"/>
    <w:tmpl w:val="7DF00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D53D09"/>
    <w:multiLevelType w:val="hybridMultilevel"/>
    <w:tmpl w:val="96024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B77DC"/>
    <w:multiLevelType w:val="hybridMultilevel"/>
    <w:tmpl w:val="26E8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81786"/>
    <w:multiLevelType w:val="hybridMultilevel"/>
    <w:tmpl w:val="6A189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61742"/>
    <w:multiLevelType w:val="hybridMultilevel"/>
    <w:tmpl w:val="29A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F9338A"/>
    <w:multiLevelType w:val="hybridMultilevel"/>
    <w:tmpl w:val="0B541AA0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B73B6"/>
    <w:multiLevelType w:val="hybridMultilevel"/>
    <w:tmpl w:val="9CFA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530F4"/>
    <w:multiLevelType w:val="hybridMultilevel"/>
    <w:tmpl w:val="9C54C344"/>
    <w:lvl w:ilvl="0" w:tplc="BD54CC34">
      <w:start w:val="5"/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82161"/>
    <w:multiLevelType w:val="hybridMultilevel"/>
    <w:tmpl w:val="CB62E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A12A19"/>
    <w:multiLevelType w:val="hybridMultilevel"/>
    <w:tmpl w:val="55AA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BA59AC"/>
    <w:multiLevelType w:val="hybridMultilevel"/>
    <w:tmpl w:val="C17A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348CB"/>
    <w:multiLevelType w:val="hybridMultilevel"/>
    <w:tmpl w:val="C4A20648"/>
    <w:lvl w:ilvl="0" w:tplc="BD54CC34">
      <w:start w:val="5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93294C"/>
    <w:multiLevelType w:val="hybridMultilevel"/>
    <w:tmpl w:val="E50EE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4DF04E9"/>
    <w:multiLevelType w:val="hybridMultilevel"/>
    <w:tmpl w:val="0C36D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31D48"/>
    <w:multiLevelType w:val="hybridMultilevel"/>
    <w:tmpl w:val="737E3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B119F3"/>
    <w:multiLevelType w:val="hybridMultilevel"/>
    <w:tmpl w:val="7A6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86930"/>
    <w:multiLevelType w:val="hybridMultilevel"/>
    <w:tmpl w:val="5128EF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52DD2"/>
    <w:multiLevelType w:val="hybridMultilevel"/>
    <w:tmpl w:val="10EA3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05B3F"/>
    <w:multiLevelType w:val="multilevel"/>
    <w:tmpl w:val="285A7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15"/>
  </w:num>
  <w:num w:numId="4">
    <w:abstractNumId w:val="25"/>
  </w:num>
  <w:num w:numId="5">
    <w:abstractNumId w:val="24"/>
  </w:num>
  <w:num w:numId="6">
    <w:abstractNumId w:val="38"/>
  </w:num>
  <w:num w:numId="7">
    <w:abstractNumId w:val="41"/>
  </w:num>
  <w:num w:numId="8">
    <w:abstractNumId w:val="20"/>
  </w:num>
  <w:num w:numId="9">
    <w:abstractNumId w:val="22"/>
  </w:num>
  <w:num w:numId="10">
    <w:abstractNumId w:val="8"/>
  </w:num>
  <w:num w:numId="11">
    <w:abstractNumId w:val="16"/>
  </w:num>
  <w:num w:numId="12">
    <w:abstractNumId w:val="3"/>
  </w:num>
  <w:num w:numId="13">
    <w:abstractNumId w:val="10"/>
  </w:num>
  <w:num w:numId="14">
    <w:abstractNumId w:val="2"/>
  </w:num>
  <w:num w:numId="15">
    <w:abstractNumId w:val="7"/>
  </w:num>
  <w:num w:numId="16">
    <w:abstractNumId w:val="21"/>
  </w:num>
  <w:num w:numId="17">
    <w:abstractNumId w:val="39"/>
  </w:num>
  <w:num w:numId="18">
    <w:abstractNumId w:val="18"/>
  </w:num>
  <w:num w:numId="19">
    <w:abstractNumId w:val="36"/>
  </w:num>
  <w:num w:numId="20">
    <w:abstractNumId w:val="19"/>
  </w:num>
  <w:num w:numId="21">
    <w:abstractNumId w:val="11"/>
  </w:num>
  <w:num w:numId="22">
    <w:abstractNumId w:val="34"/>
  </w:num>
  <w:num w:numId="23">
    <w:abstractNumId w:val="42"/>
  </w:num>
  <w:num w:numId="24">
    <w:abstractNumId w:val="17"/>
  </w:num>
  <w:num w:numId="25">
    <w:abstractNumId w:val="28"/>
  </w:num>
  <w:num w:numId="26">
    <w:abstractNumId w:val="32"/>
  </w:num>
  <w:num w:numId="27">
    <w:abstractNumId w:val="27"/>
  </w:num>
  <w:num w:numId="28">
    <w:abstractNumId w:val="40"/>
  </w:num>
  <w:num w:numId="29">
    <w:abstractNumId w:val="1"/>
  </w:num>
  <w:num w:numId="30">
    <w:abstractNumId w:val="13"/>
  </w:num>
  <w:num w:numId="31">
    <w:abstractNumId w:val="26"/>
  </w:num>
  <w:num w:numId="32">
    <w:abstractNumId w:val="4"/>
  </w:num>
  <w:num w:numId="33">
    <w:abstractNumId w:val="14"/>
  </w:num>
  <w:num w:numId="34">
    <w:abstractNumId w:val="23"/>
  </w:num>
  <w:num w:numId="35">
    <w:abstractNumId w:val="9"/>
  </w:num>
  <w:num w:numId="36">
    <w:abstractNumId w:val="31"/>
  </w:num>
  <w:num w:numId="37">
    <w:abstractNumId w:val="29"/>
  </w:num>
  <w:num w:numId="38">
    <w:abstractNumId w:val="35"/>
  </w:num>
  <w:num w:numId="39">
    <w:abstractNumId w:val="0"/>
  </w:num>
  <w:num w:numId="40">
    <w:abstractNumId w:val="30"/>
  </w:num>
  <w:num w:numId="41">
    <w:abstractNumId w:val="12"/>
  </w:num>
  <w:num w:numId="42">
    <w:abstractNumId w:val="33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3A"/>
    <w:rsid w:val="00010F3C"/>
    <w:rsid w:val="00013EDC"/>
    <w:rsid w:val="0001664D"/>
    <w:rsid w:val="0003238C"/>
    <w:rsid w:val="00032511"/>
    <w:rsid w:val="00042004"/>
    <w:rsid w:val="00054B9B"/>
    <w:rsid w:val="000578C1"/>
    <w:rsid w:val="0006554E"/>
    <w:rsid w:val="00066C17"/>
    <w:rsid w:val="00067038"/>
    <w:rsid w:val="00072199"/>
    <w:rsid w:val="0007344E"/>
    <w:rsid w:val="00075451"/>
    <w:rsid w:val="00075A4A"/>
    <w:rsid w:val="0008373B"/>
    <w:rsid w:val="00086B42"/>
    <w:rsid w:val="000873FA"/>
    <w:rsid w:val="000A0DA2"/>
    <w:rsid w:val="000A4829"/>
    <w:rsid w:val="000B0B36"/>
    <w:rsid w:val="000B1F55"/>
    <w:rsid w:val="000B3C85"/>
    <w:rsid w:val="000B6D17"/>
    <w:rsid w:val="000C4D3F"/>
    <w:rsid w:val="000D1B59"/>
    <w:rsid w:val="000D63CE"/>
    <w:rsid w:val="000E01A9"/>
    <w:rsid w:val="000F1935"/>
    <w:rsid w:val="00107140"/>
    <w:rsid w:val="00112D65"/>
    <w:rsid w:val="00116AA5"/>
    <w:rsid w:val="00135E4C"/>
    <w:rsid w:val="001366C4"/>
    <w:rsid w:val="00136725"/>
    <w:rsid w:val="00136B34"/>
    <w:rsid w:val="00145A09"/>
    <w:rsid w:val="001748BA"/>
    <w:rsid w:val="001755B0"/>
    <w:rsid w:val="00175899"/>
    <w:rsid w:val="001914EC"/>
    <w:rsid w:val="00195A62"/>
    <w:rsid w:val="00196EE8"/>
    <w:rsid w:val="001A3C46"/>
    <w:rsid w:val="001A611C"/>
    <w:rsid w:val="001A672A"/>
    <w:rsid w:val="001B34E1"/>
    <w:rsid w:val="001B4189"/>
    <w:rsid w:val="001E0128"/>
    <w:rsid w:val="001E1F8B"/>
    <w:rsid w:val="001F7A9D"/>
    <w:rsid w:val="00203131"/>
    <w:rsid w:val="00210E3A"/>
    <w:rsid w:val="0021127B"/>
    <w:rsid w:val="00226E37"/>
    <w:rsid w:val="00234C38"/>
    <w:rsid w:val="00237C05"/>
    <w:rsid w:val="002429C3"/>
    <w:rsid w:val="00245389"/>
    <w:rsid w:val="0025292A"/>
    <w:rsid w:val="00262B28"/>
    <w:rsid w:val="002663EB"/>
    <w:rsid w:val="002728B2"/>
    <w:rsid w:val="002847FF"/>
    <w:rsid w:val="00292302"/>
    <w:rsid w:val="002934E5"/>
    <w:rsid w:val="002947AD"/>
    <w:rsid w:val="002A054D"/>
    <w:rsid w:val="002A5BBD"/>
    <w:rsid w:val="002B2C43"/>
    <w:rsid w:val="002B32D5"/>
    <w:rsid w:val="002B6E30"/>
    <w:rsid w:val="002C0283"/>
    <w:rsid w:val="002D0AFC"/>
    <w:rsid w:val="002F4E68"/>
    <w:rsid w:val="003118B0"/>
    <w:rsid w:val="003152CB"/>
    <w:rsid w:val="00322E20"/>
    <w:rsid w:val="00327D3A"/>
    <w:rsid w:val="003315C2"/>
    <w:rsid w:val="00336C0A"/>
    <w:rsid w:val="00341AEA"/>
    <w:rsid w:val="00343CE7"/>
    <w:rsid w:val="00364683"/>
    <w:rsid w:val="00364832"/>
    <w:rsid w:val="00366FE9"/>
    <w:rsid w:val="00373600"/>
    <w:rsid w:val="0037754B"/>
    <w:rsid w:val="003816E2"/>
    <w:rsid w:val="003A1ACC"/>
    <w:rsid w:val="003A1FF2"/>
    <w:rsid w:val="003A245B"/>
    <w:rsid w:val="003E589D"/>
    <w:rsid w:val="003F772D"/>
    <w:rsid w:val="003F7AD8"/>
    <w:rsid w:val="0040089A"/>
    <w:rsid w:val="00402D5D"/>
    <w:rsid w:val="00402FBC"/>
    <w:rsid w:val="00414597"/>
    <w:rsid w:val="00414F45"/>
    <w:rsid w:val="00420382"/>
    <w:rsid w:val="004305CF"/>
    <w:rsid w:val="0043191B"/>
    <w:rsid w:val="00432474"/>
    <w:rsid w:val="00443F85"/>
    <w:rsid w:val="00445AB4"/>
    <w:rsid w:val="00447540"/>
    <w:rsid w:val="00454C4B"/>
    <w:rsid w:val="00455897"/>
    <w:rsid w:val="0046258D"/>
    <w:rsid w:val="004700DB"/>
    <w:rsid w:val="004956B8"/>
    <w:rsid w:val="00495D6A"/>
    <w:rsid w:val="004A4651"/>
    <w:rsid w:val="004C7ECB"/>
    <w:rsid w:val="004D5882"/>
    <w:rsid w:val="004D65A8"/>
    <w:rsid w:val="004E1B68"/>
    <w:rsid w:val="004E2088"/>
    <w:rsid w:val="00500D04"/>
    <w:rsid w:val="00500D91"/>
    <w:rsid w:val="00511050"/>
    <w:rsid w:val="00525C33"/>
    <w:rsid w:val="00530981"/>
    <w:rsid w:val="00540025"/>
    <w:rsid w:val="00544B53"/>
    <w:rsid w:val="00551801"/>
    <w:rsid w:val="00552BDA"/>
    <w:rsid w:val="00553A85"/>
    <w:rsid w:val="00562B13"/>
    <w:rsid w:val="0057283C"/>
    <w:rsid w:val="00573B4F"/>
    <w:rsid w:val="00581ADC"/>
    <w:rsid w:val="00595FBE"/>
    <w:rsid w:val="005A5BA7"/>
    <w:rsid w:val="005B154E"/>
    <w:rsid w:val="005B2333"/>
    <w:rsid w:val="005D062E"/>
    <w:rsid w:val="005D0A0C"/>
    <w:rsid w:val="00601EFF"/>
    <w:rsid w:val="006105CD"/>
    <w:rsid w:val="0061137B"/>
    <w:rsid w:val="006251BB"/>
    <w:rsid w:val="00625655"/>
    <w:rsid w:val="00634705"/>
    <w:rsid w:val="00645A4E"/>
    <w:rsid w:val="00647280"/>
    <w:rsid w:val="00651E88"/>
    <w:rsid w:val="00652DC6"/>
    <w:rsid w:val="00653EFA"/>
    <w:rsid w:val="00662D32"/>
    <w:rsid w:val="00665C6E"/>
    <w:rsid w:val="006712F7"/>
    <w:rsid w:val="00690531"/>
    <w:rsid w:val="006909C0"/>
    <w:rsid w:val="006B01D0"/>
    <w:rsid w:val="006C5F51"/>
    <w:rsid w:val="006C6E96"/>
    <w:rsid w:val="006C71B8"/>
    <w:rsid w:val="006D34B2"/>
    <w:rsid w:val="006E057E"/>
    <w:rsid w:val="006E35A0"/>
    <w:rsid w:val="006F4330"/>
    <w:rsid w:val="00706BE8"/>
    <w:rsid w:val="00707E45"/>
    <w:rsid w:val="00724BD5"/>
    <w:rsid w:val="00737780"/>
    <w:rsid w:val="00741AA5"/>
    <w:rsid w:val="007422B6"/>
    <w:rsid w:val="00743A29"/>
    <w:rsid w:val="007578A8"/>
    <w:rsid w:val="00775BE0"/>
    <w:rsid w:val="007902E4"/>
    <w:rsid w:val="00790639"/>
    <w:rsid w:val="007A1AEE"/>
    <w:rsid w:val="007A41F2"/>
    <w:rsid w:val="007B66C1"/>
    <w:rsid w:val="007E379A"/>
    <w:rsid w:val="007F223A"/>
    <w:rsid w:val="00803702"/>
    <w:rsid w:val="00812D01"/>
    <w:rsid w:val="00813FCB"/>
    <w:rsid w:val="00816668"/>
    <w:rsid w:val="00821FFB"/>
    <w:rsid w:val="00824FF6"/>
    <w:rsid w:val="00825882"/>
    <w:rsid w:val="00826C85"/>
    <w:rsid w:val="0082796F"/>
    <w:rsid w:val="008313BA"/>
    <w:rsid w:val="00853D0C"/>
    <w:rsid w:val="00865E28"/>
    <w:rsid w:val="00865FFF"/>
    <w:rsid w:val="00870EE0"/>
    <w:rsid w:val="0088403E"/>
    <w:rsid w:val="008A398F"/>
    <w:rsid w:val="008A5ADE"/>
    <w:rsid w:val="008A6E82"/>
    <w:rsid w:val="008B2A2C"/>
    <w:rsid w:val="008C2A0E"/>
    <w:rsid w:val="008C4D45"/>
    <w:rsid w:val="008D002F"/>
    <w:rsid w:val="008D5974"/>
    <w:rsid w:val="008E172A"/>
    <w:rsid w:val="008F0102"/>
    <w:rsid w:val="008F19C1"/>
    <w:rsid w:val="009013B2"/>
    <w:rsid w:val="009031FF"/>
    <w:rsid w:val="00923B46"/>
    <w:rsid w:val="00926AA6"/>
    <w:rsid w:val="00932044"/>
    <w:rsid w:val="0095708C"/>
    <w:rsid w:val="00970DFF"/>
    <w:rsid w:val="009743D9"/>
    <w:rsid w:val="00976D0F"/>
    <w:rsid w:val="0098263F"/>
    <w:rsid w:val="00983338"/>
    <w:rsid w:val="009873BA"/>
    <w:rsid w:val="00987EE9"/>
    <w:rsid w:val="009B0E0E"/>
    <w:rsid w:val="009B6F2C"/>
    <w:rsid w:val="009E056D"/>
    <w:rsid w:val="009E2A45"/>
    <w:rsid w:val="009E34CB"/>
    <w:rsid w:val="009F1BC9"/>
    <w:rsid w:val="009F1CC4"/>
    <w:rsid w:val="009F4F5A"/>
    <w:rsid w:val="00A05DD8"/>
    <w:rsid w:val="00A17517"/>
    <w:rsid w:val="00A244A2"/>
    <w:rsid w:val="00A2613F"/>
    <w:rsid w:val="00A27C08"/>
    <w:rsid w:val="00A30742"/>
    <w:rsid w:val="00A37980"/>
    <w:rsid w:val="00A37C93"/>
    <w:rsid w:val="00A40A6A"/>
    <w:rsid w:val="00A42360"/>
    <w:rsid w:val="00A52D86"/>
    <w:rsid w:val="00A629E6"/>
    <w:rsid w:val="00A648C9"/>
    <w:rsid w:val="00A83753"/>
    <w:rsid w:val="00A8482D"/>
    <w:rsid w:val="00AA3991"/>
    <w:rsid w:val="00AA58C1"/>
    <w:rsid w:val="00AB7D62"/>
    <w:rsid w:val="00AD1392"/>
    <w:rsid w:val="00AD1DBD"/>
    <w:rsid w:val="00AD50A5"/>
    <w:rsid w:val="00AE2361"/>
    <w:rsid w:val="00AE5B07"/>
    <w:rsid w:val="00AE6DF1"/>
    <w:rsid w:val="00B01322"/>
    <w:rsid w:val="00B01A00"/>
    <w:rsid w:val="00B029AC"/>
    <w:rsid w:val="00B13BE3"/>
    <w:rsid w:val="00B143A8"/>
    <w:rsid w:val="00B167A3"/>
    <w:rsid w:val="00B203FB"/>
    <w:rsid w:val="00B36C53"/>
    <w:rsid w:val="00B510D5"/>
    <w:rsid w:val="00B530E8"/>
    <w:rsid w:val="00B6686C"/>
    <w:rsid w:val="00B758AF"/>
    <w:rsid w:val="00B7757C"/>
    <w:rsid w:val="00B80289"/>
    <w:rsid w:val="00B858A5"/>
    <w:rsid w:val="00B8631F"/>
    <w:rsid w:val="00B8738A"/>
    <w:rsid w:val="00BA40C0"/>
    <w:rsid w:val="00BA62B2"/>
    <w:rsid w:val="00BB06B7"/>
    <w:rsid w:val="00BB2054"/>
    <w:rsid w:val="00BC1BA3"/>
    <w:rsid w:val="00BD2A4B"/>
    <w:rsid w:val="00BD5263"/>
    <w:rsid w:val="00BF5AAD"/>
    <w:rsid w:val="00BF712D"/>
    <w:rsid w:val="00C1244C"/>
    <w:rsid w:val="00C14FBA"/>
    <w:rsid w:val="00C36B12"/>
    <w:rsid w:val="00C425BC"/>
    <w:rsid w:val="00C47CB6"/>
    <w:rsid w:val="00C50F51"/>
    <w:rsid w:val="00C51760"/>
    <w:rsid w:val="00C52ADC"/>
    <w:rsid w:val="00C56ED4"/>
    <w:rsid w:val="00C6532F"/>
    <w:rsid w:val="00C6672D"/>
    <w:rsid w:val="00C8092F"/>
    <w:rsid w:val="00C91E05"/>
    <w:rsid w:val="00CA098E"/>
    <w:rsid w:val="00CA6415"/>
    <w:rsid w:val="00CB0A6C"/>
    <w:rsid w:val="00CC1033"/>
    <w:rsid w:val="00CC75B8"/>
    <w:rsid w:val="00CC7668"/>
    <w:rsid w:val="00CF3AB8"/>
    <w:rsid w:val="00D0244A"/>
    <w:rsid w:val="00D11384"/>
    <w:rsid w:val="00D11BB1"/>
    <w:rsid w:val="00D26292"/>
    <w:rsid w:val="00D361D2"/>
    <w:rsid w:val="00D411E1"/>
    <w:rsid w:val="00D427EA"/>
    <w:rsid w:val="00D46A6F"/>
    <w:rsid w:val="00D66EB3"/>
    <w:rsid w:val="00D842D6"/>
    <w:rsid w:val="00D844EA"/>
    <w:rsid w:val="00D874F7"/>
    <w:rsid w:val="00DA5C0E"/>
    <w:rsid w:val="00DA5D5F"/>
    <w:rsid w:val="00DB02A9"/>
    <w:rsid w:val="00DB1B1F"/>
    <w:rsid w:val="00DB51DD"/>
    <w:rsid w:val="00DC5EAA"/>
    <w:rsid w:val="00DC6F63"/>
    <w:rsid w:val="00DF4335"/>
    <w:rsid w:val="00DF663F"/>
    <w:rsid w:val="00DF74CF"/>
    <w:rsid w:val="00DF74FB"/>
    <w:rsid w:val="00E1216A"/>
    <w:rsid w:val="00E17C2F"/>
    <w:rsid w:val="00E22D64"/>
    <w:rsid w:val="00E37537"/>
    <w:rsid w:val="00E40048"/>
    <w:rsid w:val="00E47908"/>
    <w:rsid w:val="00E52B1E"/>
    <w:rsid w:val="00E52ED8"/>
    <w:rsid w:val="00E5403B"/>
    <w:rsid w:val="00E600A8"/>
    <w:rsid w:val="00E82F50"/>
    <w:rsid w:val="00E868AB"/>
    <w:rsid w:val="00EA1481"/>
    <w:rsid w:val="00EB340C"/>
    <w:rsid w:val="00EC4175"/>
    <w:rsid w:val="00ED5DC4"/>
    <w:rsid w:val="00EE4F66"/>
    <w:rsid w:val="00F036D1"/>
    <w:rsid w:val="00F03CB9"/>
    <w:rsid w:val="00F2759D"/>
    <w:rsid w:val="00F34116"/>
    <w:rsid w:val="00F501C1"/>
    <w:rsid w:val="00F543C2"/>
    <w:rsid w:val="00F70160"/>
    <w:rsid w:val="00F71499"/>
    <w:rsid w:val="00F7205E"/>
    <w:rsid w:val="00F828E7"/>
    <w:rsid w:val="00F876AB"/>
    <w:rsid w:val="00F903FC"/>
    <w:rsid w:val="00F90D70"/>
    <w:rsid w:val="00F94302"/>
    <w:rsid w:val="00FA01C8"/>
    <w:rsid w:val="00FA26BB"/>
    <w:rsid w:val="00FA5D71"/>
    <w:rsid w:val="00FA6FB1"/>
    <w:rsid w:val="00FB2EF6"/>
    <w:rsid w:val="00FC6525"/>
    <w:rsid w:val="00FC71B9"/>
    <w:rsid w:val="00FD538C"/>
    <w:rsid w:val="00FD63FF"/>
    <w:rsid w:val="00FE1526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F0B2"/>
  <w15:chartTrackingRefBased/>
  <w15:docId w15:val="{19EBAEDF-C07C-4EBD-81B6-0D94E12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C6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BE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40C"/>
    <w:pPr>
      <w:keepNext/>
      <w:keepLines/>
      <w:spacing w:before="40" w:after="0"/>
      <w:outlineLvl w:val="2"/>
    </w:pPr>
    <w:rPr>
      <w:rFonts w:eastAsiaTheme="majorEastAsia" w:cstheme="majorBidi"/>
      <w:b/>
      <w:color w:val="4E2A8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36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E2A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FF2"/>
  </w:style>
  <w:style w:type="paragraph" w:styleId="Footer">
    <w:name w:val="footer"/>
    <w:basedOn w:val="Normal"/>
    <w:link w:val="FooterChar"/>
    <w:uiPriority w:val="99"/>
    <w:unhideWhenUsed/>
    <w:rsid w:val="003A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FF2"/>
  </w:style>
  <w:style w:type="table" w:styleId="TableGrid">
    <w:name w:val="Table Grid"/>
    <w:basedOn w:val="TableNormal"/>
    <w:uiPriority w:val="39"/>
    <w:rsid w:val="0040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6BE8"/>
    <w:rPr>
      <w:rFonts w:ascii="Arial" w:eastAsiaTheme="majorEastAsia" w:hAnsi="Arial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956B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95D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D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5">
    <w:name w:val="List Table 7 Colorful Accent 5"/>
    <w:basedOn w:val="TableNormal"/>
    <w:uiPriority w:val="52"/>
    <w:rsid w:val="00495D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95D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340C"/>
    <w:rPr>
      <w:rFonts w:ascii="Arial" w:eastAsiaTheme="majorEastAsia" w:hAnsi="Arial" w:cstheme="majorBidi"/>
      <w:b/>
      <w:color w:val="4E2A84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B3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34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340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40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40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B01D0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6B0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4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44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44E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65C6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65C6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42360"/>
    <w:rPr>
      <w:rFonts w:ascii="Arial" w:eastAsiaTheme="majorEastAsia" w:hAnsi="Arial" w:cstheme="majorBidi"/>
      <w:i/>
      <w:iCs/>
      <w:color w:val="4E2A84"/>
    </w:rPr>
  </w:style>
  <w:style w:type="character" w:styleId="FollowedHyperlink">
    <w:name w:val="FollowedHyperlink"/>
    <w:basedOn w:val="DefaultParagraphFont"/>
    <w:uiPriority w:val="99"/>
    <w:semiHidden/>
    <w:unhideWhenUsed/>
    <w:rsid w:val="00F903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https://northwestern-prod.apigee.net/sample-customer-proxy/peoplebyname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iserviceregistry.northwestern.edu/Contact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hyperlink" Target="https://apiserviceregistry.northwestern.edu/forms/general/Contact.html" TargetMode="External"/><Relationship Id="rId28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apiserviceregistry.northwestern.edu/producer/steps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4622A7-E1FD-45EC-865D-EF82D274AFF2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007456B-5419-48CC-BC3D-47177D5A06DA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Input</a:t>
          </a:r>
        </a:p>
      </dgm:t>
    </dgm:pt>
    <dgm:pt modelId="{43F2E7E6-133E-4D09-9168-3ABF1FF482BB}" type="parTrans" cxnId="{EC4F8022-43A8-451F-AF08-D177A97A6722}">
      <dgm:prSet/>
      <dgm:spPr/>
      <dgm:t>
        <a:bodyPr/>
        <a:lstStyle/>
        <a:p>
          <a:endParaRPr lang="en-US"/>
        </a:p>
      </dgm:t>
    </dgm:pt>
    <dgm:pt modelId="{10774994-7541-44AB-8473-55759DFCA78D}" type="sibTrans" cxnId="{EC4F8022-43A8-451F-AF08-D177A97A6722}">
      <dgm:prSet/>
      <dgm:spPr/>
      <dgm:t>
        <a:bodyPr/>
        <a:lstStyle/>
        <a:p>
          <a:endParaRPr lang="en-US"/>
        </a:p>
      </dgm:t>
    </dgm:pt>
    <dgm:pt modelId="{9904DB42-F3AE-419A-9999-438D5979CE43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Customer API request containing a query key and any predefined query parameters is sent to DataHub via Customer API proxy.</a:t>
          </a:r>
        </a:p>
      </dgm:t>
    </dgm:pt>
    <dgm:pt modelId="{9CFCC2E7-44AE-4410-B202-D158C03105D8}" type="parTrans" cxnId="{0C1BAEC2-F014-415D-B6EA-F6F1F2126641}">
      <dgm:prSet/>
      <dgm:spPr/>
      <dgm:t>
        <a:bodyPr/>
        <a:lstStyle/>
        <a:p>
          <a:endParaRPr lang="en-US"/>
        </a:p>
      </dgm:t>
    </dgm:pt>
    <dgm:pt modelId="{43A5E168-BEC0-4C7F-8424-73F37FCF4070}" type="sibTrans" cxnId="{0C1BAEC2-F014-415D-B6EA-F6F1F2126641}">
      <dgm:prSet/>
      <dgm:spPr/>
      <dgm:t>
        <a:bodyPr/>
        <a:lstStyle/>
        <a:p>
          <a:endParaRPr lang="en-US"/>
        </a:p>
      </dgm:t>
    </dgm:pt>
    <dgm:pt modelId="{C9E2AAC2-33E6-4EF8-A189-4DA6E3B3B9E4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Query</a:t>
          </a:r>
        </a:p>
      </dgm:t>
    </dgm:pt>
    <dgm:pt modelId="{F9C2096B-6BAD-4DD1-882F-A851C82C9714}" type="parTrans" cxnId="{5B0B4CE0-9C84-46CE-AA60-CF71B34A13F9}">
      <dgm:prSet/>
      <dgm:spPr/>
      <dgm:t>
        <a:bodyPr/>
        <a:lstStyle/>
        <a:p>
          <a:endParaRPr lang="en-US"/>
        </a:p>
      </dgm:t>
    </dgm:pt>
    <dgm:pt modelId="{D211DC4F-8211-4512-B309-E8CCCCCF43FE}" type="sibTrans" cxnId="{5B0B4CE0-9C84-46CE-AA60-CF71B34A13F9}">
      <dgm:prSet/>
      <dgm:spPr/>
      <dgm:t>
        <a:bodyPr/>
        <a:lstStyle/>
        <a:p>
          <a:endParaRPr lang="en-US"/>
        </a:p>
      </dgm:t>
    </dgm:pt>
    <dgm:pt modelId="{0422E097-ED68-4DE1-B079-8DC72D67F05D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looks up the SQL query, stored in AWS Dynamo DB, and applies the predefined parameters to the stored SQL statement. </a:t>
          </a:r>
        </a:p>
      </dgm:t>
    </dgm:pt>
    <dgm:pt modelId="{DDE3C2E7-49DD-4815-9EAB-F2D9BE1F1EF0}" type="parTrans" cxnId="{5B4CA84E-1D99-43EB-BB9F-EE080B9FDB3F}">
      <dgm:prSet/>
      <dgm:spPr/>
      <dgm:t>
        <a:bodyPr/>
        <a:lstStyle/>
        <a:p>
          <a:endParaRPr lang="en-US"/>
        </a:p>
      </dgm:t>
    </dgm:pt>
    <dgm:pt modelId="{A230CAB4-836D-4C7B-86FE-22958917787D}" type="sibTrans" cxnId="{5B4CA84E-1D99-43EB-BB9F-EE080B9FDB3F}">
      <dgm:prSet/>
      <dgm:spPr/>
      <dgm:t>
        <a:bodyPr/>
        <a:lstStyle/>
        <a:p>
          <a:endParaRPr lang="en-US"/>
        </a:p>
      </dgm:t>
    </dgm:pt>
    <dgm:pt modelId="{16092CA0-D827-4A82-BE65-DE4D3AFDDB99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Run</a:t>
          </a:r>
        </a:p>
      </dgm:t>
    </dgm:pt>
    <dgm:pt modelId="{98430270-10E8-487D-87CF-AE0FF59FD2AD}" type="parTrans" cxnId="{DFD0EF3B-0CEA-464D-B5C7-6017BE4BAC3B}">
      <dgm:prSet/>
      <dgm:spPr/>
      <dgm:t>
        <a:bodyPr/>
        <a:lstStyle/>
        <a:p>
          <a:endParaRPr lang="en-US"/>
        </a:p>
      </dgm:t>
    </dgm:pt>
    <dgm:pt modelId="{6919BC0E-6597-43E0-B394-05048D5DE6FA}" type="sibTrans" cxnId="{DFD0EF3B-0CEA-464D-B5C7-6017BE4BAC3B}">
      <dgm:prSet/>
      <dgm:spPr/>
      <dgm:t>
        <a:bodyPr/>
        <a:lstStyle/>
        <a:p>
          <a:endParaRPr lang="en-US"/>
        </a:p>
      </dgm:t>
    </dgm:pt>
    <dgm:pt modelId="{45D6EBCA-91FC-49D8-AB8A-921A3E1882A9}">
      <dgm:prSet phldrT="[Text]"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runs the compiled SQL query against the relational database.</a:t>
          </a:r>
        </a:p>
      </dgm:t>
    </dgm:pt>
    <dgm:pt modelId="{7C2CE418-130D-4518-95EE-DF509E1946FD}" type="parTrans" cxnId="{68F114F0-66CB-4243-81E9-690B09E4AE5D}">
      <dgm:prSet/>
      <dgm:spPr/>
      <dgm:t>
        <a:bodyPr/>
        <a:lstStyle/>
        <a:p>
          <a:endParaRPr lang="en-US"/>
        </a:p>
      </dgm:t>
    </dgm:pt>
    <dgm:pt modelId="{9036E1F0-26D8-4F50-8B03-6796D36F94A8}" type="sibTrans" cxnId="{68F114F0-66CB-4243-81E9-690B09E4AE5D}">
      <dgm:prSet/>
      <dgm:spPr/>
      <dgm:t>
        <a:bodyPr/>
        <a:lstStyle/>
        <a:p>
          <a:endParaRPr lang="en-US"/>
        </a:p>
      </dgm:t>
    </dgm:pt>
    <dgm:pt modelId="{E6CA9057-D223-49FA-9F10-06D36D0EA6C1}">
      <dgm:prSet phldrT="[Text]"/>
      <dgm:spPr>
        <a:solidFill>
          <a:srgbClr val="4E3084"/>
        </a:solidFill>
        <a:ln>
          <a:solidFill>
            <a:srgbClr val="4E3084"/>
          </a:solidFill>
        </a:ln>
      </dgm:spPr>
      <dgm:t>
        <a:bodyPr/>
        <a:lstStyle/>
        <a:p>
          <a:r>
            <a:rPr lang="en-US"/>
            <a:t>Return</a:t>
          </a:r>
        </a:p>
      </dgm:t>
    </dgm:pt>
    <dgm:pt modelId="{A2253E5D-F984-4431-840E-DB1959B0BD3E}" type="parTrans" cxnId="{1476DBB4-F82A-4DA7-AC5C-8297CBC841AC}">
      <dgm:prSet/>
      <dgm:spPr/>
      <dgm:t>
        <a:bodyPr/>
        <a:lstStyle/>
        <a:p>
          <a:endParaRPr lang="en-US"/>
        </a:p>
      </dgm:t>
    </dgm:pt>
    <dgm:pt modelId="{BB6688CD-EC59-4282-92FB-9D5452F701CA}" type="sibTrans" cxnId="{1476DBB4-F82A-4DA7-AC5C-8297CBC841AC}">
      <dgm:prSet/>
      <dgm:spPr/>
      <dgm:t>
        <a:bodyPr/>
        <a:lstStyle/>
        <a:p>
          <a:endParaRPr lang="en-US"/>
        </a:p>
      </dgm:t>
    </dgm:pt>
    <dgm:pt modelId="{AF96DB30-8148-40B2-94C6-FF8E5CC57D4C}">
      <dgm:prSet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JSON results are sent back to the user through customer API proxy</a:t>
          </a:r>
        </a:p>
      </dgm:t>
    </dgm:pt>
    <dgm:pt modelId="{D5D934EC-2C8A-4F69-A9B1-B342F991165D}" type="parTrans" cxnId="{E2B37F6C-61A7-45E0-95FB-3718B7E5EA04}">
      <dgm:prSet/>
      <dgm:spPr/>
      <dgm:t>
        <a:bodyPr/>
        <a:lstStyle/>
        <a:p>
          <a:endParaRPr lang="en-US"/>
        </a:p>
      </dgm:t>
    </dgm:pt>
    <dgm:pt modelId="{BA14D561-789C-420C-94F1-050C6A24E54D}" type="sibTrans" cxnId="{E2B37F6C-61A7-45E0-95FB-3718B7E5EA04}">
      <dgm:prSet/>
      <dgm:spPr/>
      <dgm:t>
        <a:bodyPr/>
        <a:lstStyle/>
        <a:p>
          <a:endParaRPr lang="en-US"/>
        </a:p>
      </dgm:t>
    </dgm:pt>
    <dgm:pt modelId="{C5B7AFAA-D097-498E-8453-2CD6B36C184F}">
      <dgm:prSet/>
      <dgm:spPr>
        <a:ln>
          <a:solidFill>
            <a:srgbClr val="4E2A84"/>
          </a:solidFill>
        </a:ln>
      </dgm:spPr>
      <dgm:t>
        <a:bodyPr/>
        <a:lstStyle/>
        <a:p>
          <a:r>
            <a:rPr lang="en-US"/>
            <a:t>DataHub converts returned results into JSON.</a:t>
          </a:r>
        </a:p>
      </dgm:t>
    </dgm:pt>
    <dgm:pt modelId="{14CDE3D4-6ABE-4647-84AD-535A757DFC0A}" type="parTrans" cxnId="{917A7A2C-0B46-4BA5-AC7F-7DA84B6A3ECE}">
      <dgm:prSet/>
      <dgm:spPr/>
      <dgm:t>
        <a:bodyPr/>
        <a:lstStyle/>
        <a:p>
          <a:endParaRPr lang="en-US"/>
        </a:p>
      </dgm:t>
    </dgm:pt>
    <dgm:pt modelId="{F89B0D6B-7E5B-4751-BBD9-C4739895FA0F}" type="sibTrans" cxnId="{917A7A2C-0B46-4BA5-AC7F-7DA84B6A3ECE}">
      <dgm:prSet/>
      <dgm:spPr/>
      <dgm:t>
        <a:bodyPr/>
        <a:lstStyle/>
        <a:p>
          <a:endParaRPr lang="en-US"/>
        </a:p>
      </dgm:t>
    </dgm:pt>
    <dgm:pt modelId="{5BFD6265-E431-4D30-B5F4-B529E78E5CB8}" type="pres">
      <dgm:prSet presAssocID="{F24622A7-E1FD-45EC-865D-EF82D274AFF2}" presName="linearFlow" presStyleCnt="0">
        <dgm:presLayoutVars>
          <dgm:dir/>
          <dgm:animLvl val="lvl"/>
          <dgm:resizeHandles val="exact"/>
        </dgm:presLayoutVars>
      </dgm:prSet>
      <dgm:spPr/>
    </dgm:pt>
    <dgm:pt modelId="{C03A5F1F-C033-4D6F-BFFD-11F636466E57}" type="pres">
      <dgm:prSet presAssocID="{2007456B-5419-48CC-BC3D-47177D5A06DA}" presName="composite" presStyleCnt="0"/>
      <dgm:spPr/>
    </dgm:pt>
    <dgm:pt modelId="{B2721E88-F144-4F3E-BC9D-ADD3BE761E55}" type="pres">
      <dgm:prSet presAssocID="{2007456B-5419-48CC-BC3D-47177D5A06DA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A220D834-2210-4B5C-8277-70387A72861A}" type="pres">
      <dgm:prSet presAssocID="{2007456B-5419-48CC-BC3D-47177D5A06DA}" presName="descendantText" presStyleLbl="alignAcc1" presStyleIdx="0" presStyleCnt="4">
        <dgm:presLayoutVars>
          <dgm:bulletEnabled val="1"/>
        </dgm:presLayoutVars>
      </dgm:prSet>
      <dgm:spPr/>
    </dgm:pt>
    <dgm:pt modelId="{29AF9303-83C1-41D9-8C96-97F9CB95C6FC}" type="pres">
      <dgm:prSet presAssocID="{10774994-7541-44AB-8473-55759DFCA78D}" presName="sp" presStyleCnt="0"/>
      <dgm:spPr/>
    </dgm:pt>
    <dgm:pt modelId="{FCB2196B-197B-4A37-966F-594DC310D82D}" type="pres">
      <dgm:prSet presAssocID="{C9E2AAC2-33E6-4EF8-A189-4DA6E3B3B9E4}" presName="composite" presStyleCnt="0"/>
      <dgm:spPr/>
    </dgm:pt>
    <dgm:pt modelId="{A6D7EAFF-E8D0-44BC-94DA-DED7679D4625}" type="pres">
      <dgm:prSet presAssocID="{C9E2AAC2-33E6-4EF8-A189-4DA6E3B3B9E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BC26C665-7651-4B14-A59A-79195B8ACEFD}" type="pres">
      <dgm:prSet presAssocID="{C9E2AAC2-33E6-4EF8-A189-4DA6E3B3B9E4}" presName="descendantText" presStyleLbl="alignAcc1" presStyleIdx="1" presStyleCnt="4">
        <dgm:presLayoutVars>
          <dgm:bulletEnabled val="1"/>
        </dgm:presLayoutVars>
      </dgm:prSet>
      <dgm:spPr/>
    </dgm:pt>
    <dgm:pt modelId="{0A253DBF-9C0E-4D75-BB50-3ADC18BDA485}" type="pres">
      <dgm:prSet presAssocID="{D211DC4F-8211-4512-B309-E8CCCCCF43FE}" presName="sp" presStyleCnt="0"/>
      <dgm:spPr/>
    </dgm:pt>
    <dgm:pt modelId="{8C07D5DA-D7D5-4AE0-B504-1F7B9160ACC6}" type="pres">
      <dgm:prSet presAssocID="{16092CA0-D827-4A82-BE65-DE4D3AFDDB99}" presName="composite" presStyleCnt="0"/>
      <dgm:spPr/>
    </dgm:pt>
    <dgm:pt modelId="{D9931DE8-F14E-44DF-985C-5F2719A9B7A7}" type="pres">
      <dgm:prSet presAssocID="{16092CA0-D827-4A82-BE65-DE4D3AFDDB99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9CD681A9-75BF-4B0E-ABD9-37F2F8485525}" type="pres">
      <dgm:prSet presAssocID="{16092CA0-D827-4A82-BE65-DE4D3AFDDB99}" presName="descendantText" presStyleLbl="alignAcc1" presStyleIdx="2" presStyleCnt="4">
        <dgm:presLayoutVars>
          <dgm:bulletEnabled val="1"/>
        </dgm:presLayoutVars>
      </dgm:prSet>
      <dgm:spPr/>
    </dgm:pt>
    <dgm:pt modelId="{B69BDC22-B14B-478F-8D02-F3CDB742D4A7}" type="pres">
      <dgm:prSet presAssocID="{6919BC0E-6597-43E0-B394-05048D5DE6FA}" presName="sp" presStyleCnt="0"/>
      <dgm:spPr/>
    </dgm:pt>
    <dgm:pt modelId="{417B3E6F-3564-43A2-935E-479C60161B4A}" type="pres">
      <dgm:prSet presAssocID="{E6CA9057-D223-49FA-9F10-06D36D0EA6C1}" presName="composite" presStyleCnt="0"/>
      <dgm:spPr/>
    </dgm:pt>
    <dgm:pt modelId="{ABFF049E-4BAE-4AB0-A85E-64C98C728B3D}" type="pres">
      <dgm:prSet presAssocID="{E6CA9057-D223-49FA-9F10-06D36D0EA6C1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1B4C637-6589-4691-839A-3DF60B3C97D7}" type="pres">
      <dgm:prSet presAssocID="{E6CA9057-D223-49FA-9F10-06D36D0EA6C1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C786AA20-EB79-4ED8-9848-C2E39C2E15DC}" type="presOf" srcId="{2007456B-5419-48CC-BC3D-47177D5A06DA}" destId="{B2721E88-F144-4F3E-BC9D-ADD3BE761E55}" srcOrd="0" destOrd="0" presId="urn:microsoft.com/office/officeart/2005/8/layout/chevron2"/>
    <dgm:cxn modelId="{EC4F8022-43A8-451F-AF08-D177A97A6722}" srcId="{F24622A7-E1FD-45EC-865D-EF82D274AFF2}" destId="{2007456B-5419-48CC-BC3D-47177D5A06DA}" srcOrd="0" destOrd="0" parTransId="{43F2E7E6-133E-4D09-9168-3ABF1FF482BB}" sibTransId="{10774994-7541-44AB-8473-55759DFCA78D}"/>
    <dgm:cxn modelId="{07C06F23-5DB4-423D-A243-77EDA53ABAD5}" type="presOf" srcId="{9904DB42-F3AE-419A-9999-438D5979CE43}" destId="{A220D834-2210-4B5C-8277-70387A72861A}" srcOrd="0" destOrd="0" presId="urn:microsoft.com/office/officeart/2005/8/layout/chevron2"/>
    <dgm:cxn modelId="{917A7A2C-0B46-4BA5-AC7F-7DA84B6A3ECE}" srcId="{E6CA9057-D223-49FA-9F10-06D36D0EA6C1}" destId="{C5B7AFAA-D097-498E-8453-2CD6B36C184F}" srcOrd="0" destOrd="0" parTransId="{14CDE3D4-6ABE-4647-84AD-535A757DFC0A}" sibTransId="{F89B0D6B-7E5B-4751-BBD9-C4739895FA0F}"/>
    <dgm:cxn modelId="{DFD0EF3B-0CEA-464D-B5C7-6017BE4BAC3B}" srcId="{F24622A7-E1FD-45EC-865D-EF82D274AFF2}" destId="{16092CA0-D827-4A82-BE65-DE4D3AFDDB99}" srcOrd="2" destOrd="0" parTransId="{98430270-10E8-487D-87CF-AE0FF59FD2AD}" sibTransId="{6919BC0E-6597-43E0-B394-05048D5DE6FA}"/>
    <dgm:cxn modelId="{71272A3F-7BB4-4693-9791-4FCB489AEAB7}" type="presOf" srcId="{C9E2AAC2-33E6-4EF8-A189-4DA6E3B3B9E4}" destId="{A6D7EAFF-E8D0-44BC-94DA-DED7679D4625}" srcOrd="0" destOrd="0" presId="urn:microsoft.com/office/officeart/2005/8/layout/chevron2"/>
    <dgm:cxn modelId="{5B4CA84E-1D99-43EB-BB9F-EE080B9FDB3F}" srcId="{C9E2AAC2-33E6-4EF8-A189-4DA6E3B3B9E4}" destId="{0422E097-ED68-4DE1-B079-8DC72D67F05D}" srcOrd="0" destOrd="0" parTransId="{DDE3C2E7-49DD-4815-9EAB-F2D9BE1F1EF0}" sibTransId="{A230CAB4-836D-4C7B-86FE-22958917787D}"/>
    <dgm:cxn modelId="{7402A05B-2E1E-42E2-B9E7-D12AC48C54C2}" type="presOf" srcId="{F24622A7-E1FD-45EC-865D-EF82D274AFF2}" destId="{5BFD6265-E431-4D30-B5F4-B529E78E5CB8}" srcOrd="0" destOrd="0" presId="urn:microsoft.com/office/officeart/2005/8/layout/chevron2"/>
    <dgm:cxn modelId="{7B049860-AA87-4AA3-B439-1178DAB9B3DA}" type="presOf" srcId="{AF96DB30-8148-40B2-94C6-FF8E5CC57D4C}" destId="{81B4C637-6589-4691-839A-3DF60B3C97D7}" srcOrd="0" destOrd="1" presId="urn:microsoft.com/office/officeart/2005/8/layout/chevron2"/>
    <dgm:cxn modelId="{E2B37F6C-61A7-45E0-95FB-3718B7E5EA04}" srcId="{E6CA9057-D223-49FA-9F10-06D36D0EA6C1}" destId="{AF96DB30-8148-40B2-94C6-FF8E5CC57D4C}" srcOrd="1" destOrd="0" parTransId="{D5D934EC-2C8A-4F69-A9B1-B342F991165D}" sibTransId="{BA14D561-789C-420C-94F1-050C6A24E54D}"/>
    <dgm:cxn modelId="{39027270-9434-4552-AE5B-14600CE280DF}" type="presOf" srcId="{0422E097-ED68-4DE1-B079-8DC72D67F05D}" destId="{BC26C665-7651-4B14-A59A-79195B8ACEFD}" srcOrd="0" destOrd="0" presId="urn:microsoft.com/office/officeart/2005/8/layout/chevron2"/>
    <dgm:cxn modelId="{441AE88A-C636-4056-B8E6-D78F3D675E0A}" type="presOf" srcId="{E6CA9057-D223-49FA-9F10-06D36D0EA6C1}" destId="{ABFF049E-4BAE-4AB0-A85E-64C98C728B3D}" srcOrd="0" destOrd="0" presId="urn:microsoft.com/office/officeart/2005/8/layout/chevron2"/>
    <dgm:cxn modelId="{F46F6D95-B4EC-4494-A67A-43EAD5B44D23}" type="presOf" srcId="{C5B7AFAA-D097-498E-8453-2CD6B36C184F}" destId="{81B4C637-6589-4691-839A-3DF60B3C97D7}" srcOrd="0" destOrd="0" presId="urn:microsoft.com/office/officeart/2005/8/layout/chevron2"/>
    <dgm:cxn modelId="{93BCE29F-F9AC-4E03-BB6B-A995BB98C264}" type="presOf" srcId="{45D6EBCA-91FC-49D8-AB8A-921A3E1882A9}" destId="{9CD681A9-75BF-4B0E-ABD9-37F2F8485525}" srcOrd="0" destOrd="0" presId="urn:microsoft.com/office/officeart/2005/8/layout/chevron2"/>
    <dgm:cxn modelId="{1476DBB4-F82A-4DA7-AC5C-8297CBC841AC}" srcId="{F24622A7-E1FD-45EC-865D-EF82D274AFF2}" destId="{E6CA9057-D223-49FA-9F10-06D36D0EA6C1}" srcOrd="3" destOrd="0" parTransId="{A2253E5D-F984-4431-840E-DB1959B0BD3E}" sibTransId="{BB6688CD-EC59-4282-92FB-9D5452F701CA}"/>
    <dgm:cxn modelId="{0C1BAEC2-F014-415D-B6EA-F6F1F2126641}" srcId="{2007456B-5419-48CC-BC3D-47177D5A06DA}" destId="{9904DB42-F3AE-419A-9999-438D5979CE43}" srcOrd="0" destOrd="0" parTransId="{9CFCC2E7-44AE-4410-B202-D158C03105D8}" sibTransId="{43A5E168-BEC0-4C7F-8424-73F37FCF4070}"/>
    <dgm:cxn modelId="{5B0B4CE0-9C84-46CE-AA60-CF71B34A13F9}" srcId="{F24622A7-E1FD-45EC-865D-EF82D274AFF2}" destId="{C9E2AAC2-33E6-4EF8-A189-4DA6E3B3B9E4}" srcOrd="1" destOrd="0" parTransId="{F9C2096B-6BAD-4DD1-882F-A851C82C9714}" sibTransId="{D211DC4F-8211-4512-B309-E8CCCCCF43FE}"/>
    <dgm:cxn modelId="{68F114F0-66CB-4243-81E9-690B09E4AE5D}" srcId="{16092CA0-D827-4A82-BE65-DE4D3AFDDB99}" destId="{45D6EBCA-91FC-49D8-AB8A-921A3E1882A9}" srcOrd="0" destOrd="0" parTransId="{7C2CE418-130D-4518-95EE-DF509E1946FD}" sibTransId="{9036E1F0-26D8-4F50-8B03-6796D36F94A8}"/>
    <dgm:cxn modelId="{5DAE89F0-5DF4-419D-B9A2-DF4BFBD646B3}" type="presOf" srcId="{16092CA0-D827-4A82-BE65-DE4D3AFDDB99}" destId="{D9931DE8-F14E-44DF-985C-5F2719A9B7A7}" srcOrd="0" destOrd="0" presId="urn:microsoft.com/office/officeart/2005/8/layout/chevron2"/>
    <dgm:cxn modelId="{AB10FAC5-9E45-466E-83CE-821B260D7B69}" type="presParOf" srcId="{5BFD6265-E431-4D30-B5F4-B529E78E5CB8}" destId="{C03A5F1F-C033-4D6F-BFFD-11F636466E57}" srcOrd="0" destOrd="0" presId="urn:microsoft.com/office/officeart/2005/8/layout/chevron2"/>
    <dgm:cxn modelId="{9AEC4EB3-6FEC-4934-ADB2-424803D51E15}" type="presParOf" srcId="{C03A5F1F-C033-4D6F-BFFD-11F636466E57}" destId="{B2721E88-F144-4F3E-BC9D-ADD3BE761E55}" srcOrd="0" destOrd="0" presId="urn:microsoft.com/office/officeart/2005/8/layout/chevron2"/>
    <dgm:cxn modelId="{F4200BD8-939B-4173-9596-881F07A9C040}" type="presParOf" srcId="{C03A5F1F-C033-4D6F-BFFD-11F636466E57}" destId="{A220D834-2210-4B5C-8277-70387A72861A}" srcOrd="1" destOrd="0" presId="urn:microsoft.com/office/officeart/2005/8/layout/chevron2"/>
    <dgm:cxn modelId="{C9C517F0-C1B8-417C-8B2F-170DA0FCB69A}" type="presParOf" srcId="{5BFD6265-E431-4D30-B5F4-B529E78E5CB8}" destId="{29AF9303-83C1-41D9-8C96-97F9CB95C6FC}" srcOrd="1" destOrd="0" presId="urn:microsoft.com/office/officeart/2005/8/layout/chevron2"/>
    <dgm:cxn modelId="{DF04A7A0-8405-4DD0-8AC2-81A2FD2FB0AE}" type="presParOf" srcId="{5BFD6265-E431-4D30-B5F4-B529E78E5CB8}" destId="{FCB2196B-197B-4A37-966F-594DC310D82D}" srcOrd="2" destOrd="0" presId="urn:microsoft.com/office/officeart/2005/8/layout/chevron2"/>
    <dgm:cxn modelId="{C2EB0BA6-9A75-4172-8B48-DBC075A8E460}" type="presParOf" srcId="{FCB2196B-197B-4A37-966F-594DC310D82D}" destId="{A6D7EAFF-E8D0-44BC-94DA-DED7679D4625}" srcOrd="0" destOrd="0" presId="urn:microsoft.com/office/officeart/2005/8/layout/chevron2"/>
    <dgm:cxn modelId="{01A6F276-B90E-4F87-A439-488E5A6DBF85}" type="presParOf" srcId="{FCB2196B-197B-4A37-966F-594DC310D82D}" destId="{BC26C665-7651-4B14-A59A-79195B8ACEFD}" srcOrd="1" destOrd="0" presId="urn:microsoft.com/office/officeart/2005/8/layout/chevron2"/>
    <dgm:cxn modelId="{155FDF43-B04F-4786-8615-854DB1A48546}" type="presParOf" srcId="{5BFD6265-E431-4D30-B5F4-B529E78E5CB8}" destId="{0A253DBF-9C0E-4D75-BB50-3ADC18BDA485}" srcOrd="3" destOrd="0" presId="urn:microsoft.com/office/officeart/2005/8/layout/chevron2"/>
    <dgm:cxn modelId="{1AB543DE-485D-47ED-A693-7971EACB8552}" type="presParOf" srcId="{5BFD6265-E431-4D30-B5F4-B529E78E5CB8}" destId="{8C07D5DA-D7D5-4AE0-B504-1F7B9160ACC6}" srcOrd="4" destOrd="0" presId="urn:microsoft.com/office/officeart/2005/8/layout/chevron2"/>
    <dgm:cxn modelId="{CE139D06-37C7-4395-BE80-372247AE5350}" type="presParOf" srcId="{8C07D5DA-D7D5-4AE0-B504-1F7B9160ACC6}" destId="{D9931DE8-F14E-44DF-985C-5F2719A9B7A7}" srcOrd="0" destOrd="0" presId="urn:microsoft.com/office/officeart/2005/8/layout/chevron2"/>
    <dgm:cxn modelId="{EDCBA207-BA5A-43CC-8882-F396BEC155D9}" type="presParOf" srcId="{8C07D5DA-D7D5-4AE0-B504-1F7B9160ACC6}" destId="{9CD681A9-75BF-4B0E-ABD9-37F2F8485525}" srcOrd="1" destOrd="0" presId="urn:microsoft.com/office/officeart/2005/8/layout/chevron2"/>
    <dgm:cxn modelId="{76DB685D-1631-4AA4-B1ED-EEE37BAB347B}" type="presParOf" srcId="{5BFD6265-E431-4D30-B5F4-B529E78E5CB8}" destId="{B69BDC22-B14B-478F-8D02-F3CDB742D4A7}" srcOrd="5" destOrd="0" presId="urn:microsoft.com/office/officeart/2005/8/layout/chevron2"/>
    <dgm:cxn modelId="{1E25A230-1F40-4D6C-BFD7-1D61A5D860AA}" type="presParOf" srcId="{5BFD6265-E431-4D30-B5F4-B529E78E5CB8}" destId="{417B3E6F-3564-43A2-935E-479C60161B4A}" srcOrd="6" destOrd="0" presId="urn:microsoft.com/office/officeart/2005/8/layout/chevron2"/>
    <dgm:cxn modelId="{986DA4C7-8A9C-436E-9E6F-7BEF69040667}" type="presParOf" srcId="{417B3E6F-3564-43A2-935E-479C60161B4A}" destId="{ABFF049E-4BAE-4AB0-A85E-64C98C728B3D}" srcOrd="0" destOrd="0" presId="urn:microsoft.com/office/officeart/2005/8/layout/chevron2"/>
    <dgm:cxn modelId="{43BC685A-7A34-41C6-88DC-CB1964B8C330}" type="presParOf" srcId="{417B3E6F-3564-43A2-935E-479C60161B4A}" destId="{81B4C637-6589-4691-839A-3DF60B3C97D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721E88-F144-4F3E-BC9D-ADD3BE761E55}">
      <dsp:nvSpPr>
        <dsp:cNvPr id="0" name=""/>
        <dsp:cNvSpPr/>
      </dsp:nvSpPr>
      <dsp:spPr>
        <a:xfrm rot="5400000">
          <a:off x="-186684" y="189379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Input</a:t>
          </a:r>
        </a:p>
      </dsp:txBody>
      <dsp:txXfrm rot="-5400000">
        <a:off x="1" y="438290"/>
        <a:ext cx="871192" cy="373369"/>
      </dsp:txXfrm>
    </dsp:sp>
    <dsp:sp modelId="{A220D834-2210-4B5C-8277-70387A72861A}">
      <dsp:nvSpPr>
        <dsp:cNvPr id="0" name=""/>
        <dsp:cNvSpPr/>
      </dsp:nvSpPr>
      <dsp:spPr>
        <a:xfrm rot="5400000">
          <a:off x="2979101" y="-2105213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Customer API request containing a query key and any predefined query parameters is sent to DataHub via Customer API proxy.</a:t>
          </a:r>
        </a:p>
      </dsp:txBody>
      <dsp:txXfrm rot="-5400000">
        <a:off x="871192" y="42186"/>
        <a:ext cx="4985292" cy="729984"/>
      </dsp:txXfrm>
    </dsp:sp>
    <dsp:sp modelId="{A6D7EAFF-E8D0-44BC-94DA-DED7679D4625}">
      <dsp:nvSpPr>
        <dsp:cNvPr id="0" name=""/>
        <dsp:cNvSpPr/>
      </dsp:nvSpPr>
      <dsp:spPr>
        <a:xfrm rot="5400000">
          <a:off x="-186684" y="1287203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Query</a:t>
          </a:r>
        </a:p>
      </dsp:txBody>
      <dsp:txXfrm rot="-5400000">
        <a:off x="1" y="1536114"/>
        <a:ext cx="871192" cy="373369"/>
      </dsp:txXfrm>
    </dsp:sp>
    <dsp:sp modelId="{BC26C665-7651-4B14-A59A-79195B8ACEFD}">
      <dsp:nvSpPr>
        <dsp:cNvPr id="0" name=""/>
        <dsp:cNvSpPr/>
      </dsp:nvSpPr>
      <dsp:spPr>
        <a:xfrm rot="5400000">
          <a:off x="2979101" y="-1007389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DataHub looks up the SQL query, stored in AWS Dynamo DB, and applies the predefined parameters to the stored SQL statement. </a:t>
          </a:r>
        </a:p>
      </dsp:txBody>
      <dsp:txXfrm rot="-5400000">
        <a:off x="871192" y="1140010"/>
        <a:ext cx="4985292" cy="729984"/>
      </dsp:txXfrm>
    </dsp:sp>
    <dsp:sp modelId="{D9931DE8-F14E-44DF-985C-5F2719A9B7A7}">
      <dsp:nvSpPr>
        <dsp:cNvPr id="0" name=""/>
        <dsp:cNvSpPr/>
      </dsp:nvSpPr>
      <dsp:spPr>
        <a:xfrm rot="5400000">
          <a:off x="-186684" y="2385028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Run</a:t>
          </a:r>
        </a:p>
      </dsp:txBody>
      <dsp:txXfrm rot="-5400000">
        <a:off x="1" y="2633939"/>
        <a:ext cx="871192" cy="373369"/>
      </dsp:txXfrm>
    </dsp:sp>
    <dsp:sp modelId="{9CD681A9-75BF-4B0E-ABD9-37F2F8485525}">
      <dsp:nvSpPr>
        <dsp:cNvPr id="0" name=""/>
        <dsp:cNvSpPr/>
      </dsp:nvSpPr>
      <dsp:spPr>
        <a:xfrm rot="5400000">
          <a:off x="2979101" y="90435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DataHub runs the compiled SQL query against the relational database.</a:t>
          </a:r>
        </a:p>
      </dsp:txBody>
      <dsp:txXfrm rot="-5400000">
        <a:off x="871192" y="2237834"/>
        <a:ext cx="4985292" cy="729984"/>
      </dsp:txXfrm>
    </dsp:sp>
    <dsp:sp modelId="{ABFF049E-4BAE-4AB0-A85E-64C98C728B3D}">
      <dsp:nvSpPr>
        <dsp:cNvPr id="0" name=""/>
        <dsp:cNvSpPr/>
      </dsp:nvSpPr>
      <dsp:spPr>
        <a:xfrm rot="5400000">
          <a:off x="-186684" y="3482853"/>
          <a:ext cx="1244561" cy="871192"/>
        </a:xfrm>
        <a:prstGeom prst="chevron">
          <a:avLst/>
        </a:prstGeom>
        <a:solidFill>
          <a:srgbClr val="4E3084"/>
        </a:solidFill>
        <a:ln w="12700" cap="flat" cmpd="sng" algn="ctr">
          <a:solidFill>
            <a:srgbClr val="4E30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Return</a:t>
          </a:r>
        </a:p>
      </dsp:txBody>
      <dsp:txXfrm rot="-5400000">
        <a:off x="1" y="3731764"/>
        <a:ext cx="871192" cy="373369"/>
      </dsp:txXfrm>
    </dsp:sp>
    <dsp:sp modelId="{81B4C637-6589-4691-839A-3DF60B3C97D7}">
      <dsp:nvSpPr>
        <dsp:cNvPr id="0" name=""/>
        <dsp:cNvSpPr/>
      </dsp:nvSpPr>
      <dsp:spPr>
        <a:xfrm rot="5400000">
          <a:off x="2979101" y="1188260"/>
          <a:ext cx="808964" cy="502478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4E2A8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DataHub converts returned results into JSON.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JSON results are sent back to the user through customer API proxy</a:t>
          </a:r>
        </a:p>
      </dsp:txBody>
      <dsp:txXfrm rot="-5400000">
        <a:off x="871192" y="3335659"/>
        <a:ext cx="4985292" cy="729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08F42D71C7E4A939E4B60B16F49E9" ma:contentTypeVersion="0" ma:contentTypeDescription="Create a new document." ma:contentTypeScope="" ma:versionID="91e1cefe7fbdd3aa9083ac80f3700e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039CC-375E-476F-BCD9-D56CA23D3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60BE7-F958-4649-ABCD-577326C4ED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D853B-2BD0-436E-972A-C7E9DDD109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B3FCCC-C502-42CD-9106-1EFE0FB9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2671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Early Careers in Technology</dc:creator>
  <cp:keywords/>
  <dc:description/>
  <cp:lastModifiedBy>Casey Colby</cp:lastModifiedBy>
  <cp:revision>6</cp:revision>
  <cp:lastPrinted>2019-06-06T16:54:00Z</cp:lastPrinted>
  <dcterms:created xsi:type="dcterms:W3CDTF">2019-09-10T19:18:00Z</dcterms:created>
  <dcterms:modified xsi:type="dcterms:W3CDTF">2021-01-21T14:51:00Z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0x01010088208F42D71C7E4A939E4B60B16F49E9</vt:lpwstr>
  </property>
</Properties>
</file>