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467F"/>
          <w:sz w:val="52"/>
        </w:rPr>
        <w:t>Brazilian E-Commerce Analytics</w:t>
      </w:r>
    </w:p>
    <w:p>
      <w:pPr>
        <w:jc w:val="center"/>
      </w:pPr>
      <w:r>
        <w:rPr>
          <w:b/>
          <w:color w:val="505050"/>
          <w:sz w:val="32"/>
        </w:rPr>
        <w:t>Comprehensive Data &amp; SQL Analysis Report</w:t>
      </w:r>
    </w:p>
    <w:p/>
    <w:p>
      <w:pPr>
        <w:jc w:val="center"/>
      </w:pPr>
      <w:r>
        <w:rPr>
          <w:b/>
          <w:sz w:val="26"/>
        </w:rPr>
        <w:t>Author: Nithin Chillara</w:t>
      </w:r>
    </w:p>
    <w:p>
      <w:pPr>
        <w:jc w:val="center"/>
      </w:pPr>
      <w:r>
        <w:rPr>
          <w:b w:val="0"/>
          <w:sz w:val="24"/>
        </w:rPr>
        <w:t>Date: September 17, 2026</w:t>
      </w:r>
    </w:p>
    <w:p>
      <w:pPr>
        <w:jc w:val="center"/>
      </w:pPr>
      <w:r>
        <w:rPr>
          <w:b w:val="0"/>
          <w:sz w:val="22"/>
        </w:rPr>
        <w:t>Dataset: Olist Brazilian E-Commerce Public Dataset (Sep 2016 – Oct 2018)</w:t>
      </w:r>
    </w:p>
    <w:p>
      <w:pPr>
        <w:jc w:val="center"/>
      </w:pPr>
      <w:r>
        <w:rPr>
          <w:b w:val="0"/>
          <w:sz w:val="22"/>
        </w:rPr>
        <w:t>Technology: Python | Pandas | NumPy | Matplotlib | Seaborn | SQLite</w:t>
      </w:r>
    </w:p>
    <w:p>
      <w:pPr>
        <w:jc w:val="center"/>
      </w:pPr>
      <w:r>
        <w:rPr>
          <w:b/>
          <w:color w:val="006400"/>
          <w:sz w:val="20"/>
        </w:rPr>
        <w:t>All outputs shown are actual results from notebook execution. No fabricated data.</w:t>
      </w:r>
    </w:p>
    <w:p>
      <w:r>
        <w:br w:type="page"/>
      </w:r>
    </w:p>
    <w:p>
      <w:pPr>
        <w:pStyle w:val="Heading1"/>
      </w:pPr>
      <w:r>
        <w:rPr>
          <w:color w:val="00467F"/>
        </w:rPr>
        <w:t>1. Executive Summary</w:t>
      </w:r>
    </w:p>
    <w:p>
      <w:pPr>
        <w:jc w:val="left"/>
      </w:pPr>
      <w:r>
        <w:rPr>
          <w:b w:val="0"/>
          <w:i w:val="0"/>
          <w:sz w:val="21"/>
        </w:rPr>
        <w:t>This report presents a comprehensive data and SQL analysis of the Olist Brazilian E-Commerce dataset covering 99,441 orders from September 2016 to October 2018. Every table, chart, and statistic in this report is an actual output from the executed Jupyter notebook. All analysis uses Python (Pandas, NumPy, Matplotlib, Seaborn) and SQL (SQLite in-memory database).</w:t>
      </w:r>
    </w:p>
    <w:p>
      <w:pPr>
        <w:pStyle w:val="Heading1"/>
      </w:pPr>
      <w:r>
        <w:rPr>
          <w:color w:val="00467F"/>
        </w:rPr>
        <w:t>2. Dataset Overview</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shd w:val="clear" w:color="auto" w:fill="1F4E79"/>
          </w:tcPr>
          <w:p>
            <w:r>
              <w:rPr>
                <w:b/>
                <w:color w:val="FFFFFF"/>
                <w:sz w:val="17"/>
              </w:rPr>
              <w:t>File</w:t>
            </w:r>
          </w:p>
        </w:tc>
        <w:tc>
          <w:tcPr>
            <w:tcW w:type="dxa" w:w="2309"/>
            <w:shd w:val="clear" w:color="auto" w:fill="1F4E79"/>
          </w:tcPr>
          <w:p>
            <w:r>
              <w:rPr>
                <w:b/>
                <w:color w:val="FFFFFF"/>
                <w:sz w:val="17"/>
              </w:rPr>
              <w:t>Rows</w:t>
            </w:r>
          </w:p>
        </w:tc>
        <w:tc>
          <w:tcPr>
            <w:tcW w:type="dxa" w:w="2309"/>
            <w:shd w:val="clear" w:color="auto" w:fill="1F4E79"/>
          </w:tcPr>
          <w:p>
            <w:r>
              <w:rPr>
                <w:b/>
                <w:color w:val="FFFFFF"/>
                <w:sz w:val="17"/>
              </w:rPr>
              <w:t>Cols</w:t>
            </w:r>
          </w:p>
        </w:tc>
        <w:tc>
          <w:tcPr>
            <w:tcW w:type="dxa" w:w="2309"/>
            <w:shd w:val="clear" w:color="auto" w:fill="1F4E79"/>
          </w:tcPr>
          <w:p>
            <w:r>
              <w:rPr>
                <w:b/>
                <w:color w:val="FFFFFF"/>
                <w:sz w:val="17"/>
              </w:rPr>
              <w:t>Key Fields</w:t>
            </w:r>
          </w:p>
        </w:tc>
      </w:tr>
      <w:tr>
        <w:tc>
          <w:tcPr>
            <w:tcW w:type="dxa" w:w="2309"/>
          </w:tcPr>
          <w:p>
            <w:r>
              <w:rPr>
                <w:sz w:val="17"/>
              </w:rPr>
              <w:t>olist_customers_dataset.csv</w:t>
            </w:r>
          </w:p>
        </w:tc>
        <w:tc>
          <w:tcPr>
            <w:tcW w:type="dxa" w:w="2309"/>
          </w:tcPr>
          <w:p>
            <w:r>
              <w:rPr>
                <w:sz w:val="17"/>
              </w:rPr>
              <w:t>99,441</w:t>
            </w:r>
          </w:p>
        </w:tc>
        <w:tc>
          <w:tcPr>
            <w:tcW w:type="dxa" w:w="2309"/>
          </w:tcPr>
          <w:p>
            <w:r>
              <w:rPr>
                <w:sz w:val="17"/>
              </w:rPr>
              <w:t>5</w:t>
            </w:r>
          </w:p>
        </w:tc>
        <w:tc>
          <w:tcPr>
            <w:tcW w:type="dxa" w:w="2309"/>
          </w:tcPr>
          <w:p>
            <w:r>
              <w:rPr>
                <w:sz w:val="17"/>
              </w:rPr>
              <w:t>customer_id, customer_unique_id, state</w:t>
            </w:r>
          </w:p>
        </w:tc>
      </w:tr>
      <w:tr>
        <w:tc>
          <w:tcPr>
            <w:tcW w:type="dxa" w:w="2309"/>
          </w:tcPr>
          <w:p>
            <w:r>
              <w:rPr>
                <w:sz w:val="17"/>
              </w:rPr>
              <w:t>olist_orders_dataset.csv</w:t>
            </w:r>
          </w:p>
        </w:tc>
        <w:tc>
          <w:tcPr>
            <w:tcW w:type="dxa" w:w="2309"/>
          </w:tcPr>
          <w:p>
            <w:r>
              <w:rPr>
                <w:sz w:val="17"/>
              </w:rPr>
              <w:t>99,441</w:t>
            </w:r>
          </w:p>
        </w:tc>
        <w:tc>
          <w:tcPr>
            <w:tcW w:type="dxa" w:w="2309"/>
          </w:tcPr>
          <w:p>
            <w:r>
              <w:rPr>
                <w:sz w:val="17"/>
              </w:rPr>
              <w:t>8</w:t>
            </w:r>
          </w:p>
        </w:tc>
        <w:tc>
          <w:tcPr>
            <w:tcW w:type="dxa" w:w="2309"/>
          </w:tcPr>
          <w:p>
            <w:r>
              <w:rPr>
                <w:sz w:val="17"/>
              </w:rPr>
              <w:t>order_id, customer_id, order_status, timestamps</w:t>
            </w:r>
          </w:p>
        </w:tc>
      </w:tr>
      <w:tr>
        <w:tc>
          <w:tcPr>
            <w:tcW w:type="dxa" w:w="2309"/>
          </w:tcPr>
          <w:p>
            <w:r>
              <w:rPr>
                <w:sz w:val="17"/>
              </w:rPr>
              <w:t>olist_order_items_dataset.csv</w:t>
            </w:r>
          </w:p>
        </w:tc>
        <w:tc>
          <w:tcPr>
            <w:tcW w:type="dxa" w:w="2309"/>
          </w:tcPr>
          <w:p>
            <w:r>
              <w:rPr>
                <w:sz w:val="17"/>
              </w:rPr>
              <w:t>112,650</w:t>
            </w:r>
          </w:p>
        </w:tc>
        <w:tc>
          <w:tcPr>
            <w:tcW w:type="dxa" w:w="2309"/>
          </w:tcPr>
          <w:p>
            <w:r>
              <w:rPr>
                <w:sz w:val="17"/>
              </w:rPr>
              <w:t>7</w:t>
            </w:r>
          </w:p>
        </w:tc>
        <w:tc>
          <w:tcPr>
            <w:tcW w:type="dxa" w:w="2309"/>
          </w:tcPr>
          <w:p>
            <w:r>
              <w:rPr>
                <w:sz w:val="17"/>
              </w:rPr>
              <w:t>order_id, product_id, seller_id, price, freight</w:t>
            </w:r>
          </w:p>
        </w:tc>
      </w:tr>
      <w:tr>
        <w:tc>
          <w:tcPr>
            <w:tcW w:type="dxa" w:w="2309"/>
          </w:tcPr>
          <w:p>
            <w:r>
              <w:rPr>
                <w:sz w:val="17"/>
              </w:rPr>
              <w:t>olist_order_payments_dataset.csv</w:t>
            </w:r>
          </w:p>
        </w:tc>
        <w:tc>
          <w:tcPr>
            <w:tcW w:type="dxa" w:w="2309"/>
          </w:tcPr>
          <w:p>
            <w:r>
              <w:rPr>
                <w:sz w:val="17"/>
              </w:rPr>
              <w:t>103,886</w:t>
            </w:r>
          </w:p>
        </w:tc>
        <w:tc>
          <w:tcPr>
            <w:tcW w:type="dxa" w:w="2309"/>
          </w:tcPr>
          <w:p>
            <w:r>
              <w:rPr>
                <w:sz w:val="17"/>
              </w:rPr>
              <w:t>5</w:t>
            </w:r>
          </w:p>
        </w:tc>
        <w:tc>
          <w:tcPr>
            <w:tcW w:type="dxa" w:w="2309"/>
          </w:tcPr>
          <w:p>
            <w:r>
              <w:rPr>
                <w:sz w:val="17"/>
              </w:rPr>
              <w:t>order_id, payment_type, payment_value</w:t>
            </w:r>
          </w:p>
        </w:tc>
      </w:tr>
      <w:tr>
        <w:tc>
          <w:tcPr>
            <w:tcW w:type="dxa" w:w="2309"/>
          </w:tcPr>
          <w:p>
            <w:r>
              <w:rPr>
                <w:sz w:val="17"/>
              </w:rPr>
              <w:t>olist_order_reviews_dataset.csv</w:t>
            </w:r>
          </w:p>
        </w:tc>
        <w:tc>
          <w:tcPr>
            <w:tcW w:type="dxa" w:w="2309"/>
          </w:tcPr>
          <w:p>
            <w:r>
              <w:rPr>
                <w:sz w:val="17"/>
              </w:rPr>
              <w:t>99,224</w:t>
            </w:r>
          </w:p>
        </w:tc>
        <w:tc>
          <w:tcPr>
            <w:tcW w:type="dxa" w:w="2309"/>
          </w:tcPr>
          <w:p>
            <w:r>
              <w:rPr>
                <w:sz w:val="17"/>
              </w:rPr>
              <w:t>7</w:t>
            </w:r>
          </w:p>
        </w:tc>
        <w:tc>
          <w:tcPr>
            <w:tcW w:type="dxa" w:w="2309"/>
          </w:tcPr>
          <w:p>
            <w:r>
              <w:rPr>
                <w:sz w:val="17"/>
              </w:rPr>
              <w:t>order_id, review_score, timestamps</w:t>
            </w:r>
          </w:p>
        </w:tc>
      </w:tr>
      <w:tr>
        <w:tc>
          <w:tcPr>
            <w:tcW w:type="dxa" w:w="2309"/>
          </w:tcPr>
          <w:p>
            <w:r>
              <w:rPr>
                <w:sz w:val="17"/>
              </w:rPr>
              <w:t>olist_products_dataset.csv</w:t>
            </w:r>
          </w:p>
        </w:tc>
        <w:tc>
          <w:tcPr>
            <w:tcW w:type="dxa" w:w="2309"/>
          </w:tcPr>
          <w:p>
            <w:r>
              <w:rPr>
                <w:sz w:val="17"/>
              </w:rPr>
              <w:t>32,951</w:t>
            </w:r>
          </w:p>
        </w:tc>
        <w:tc>
          <w:tcPr>
            <w:tcW w:type="dxa" w:w="2309"/>
          </w:tcPr>
          <w:p>
            <w:r>
              <w:rPr>
                <w:sz w:val="17"/>
              </w:rPr>
              <w:t>9</w:t>
            </w:r>
          </w:p>
        </w:tc>
        <w:tc>
          <w:tcPr>
            <w:tcW w:type="dxa" w:w="2309"/>
          </w:tcPr>
          <w:p>
            <w:r>
              <w:rPr>
                <w:sz w:val="17"/>
              </w:rPr>
              <w:t>product_id, category_name, dimensions</w:t>
            </w:r>
          </w:p>
        </w:tc>
      </w:tr>
      <w:tr>
        <w:tc>
          <w:tcPr>
            <w:tcW w:type="dxa" w:w="2309"/>
          </w:tcPr>
          <w:p>
            <w:r>
              <w:rPr>
                <w:sz w:val="17"/>
              </w:rPr>
              <w:t>olist_sellers_dataset.csv</w:t>
            </w:r>
          </w:p>
        </w:tc>
        <w:tc>
          <w:tcPr>
            <w:tcW w:type="dxa" w:w="2309"/>
          </w:tcPr>
          <w:p>
            <w:r>
              <w:rPr>
                <w:sz w:val="17"/>
              </w:rPr>
              <w:t>3,095</w:t>
            </w:r>
          </w:p>
        </w:tc>
        <w:tc>
          <w:tcPr>
            <w:tcW w:type="dxa" w:w="2309"/>
          </w:tcPr>
          <w:p>
            <w:r>
              <w:rPr>
                <w:sz w:val="17"/>
              </w:rPr>
              <w:t>4</w:t>
            </w:r>
          </w:p>
        </w:tc>
        <w:tc>
          <w:tcPr>
            <w:tcW w:type="dxa" w:w="2309"/>
          </w:tcPr>
          <w:p>
            <w:r>
              <w:rPr>
                <w:sz w:val="17"/>
              </w:rPr>
              <w:t>seller_id, zip_code, city, state</w:t>
            </w:r>
          </w:p>
        </w:tc>
      </w:tr>
      <w:tr>
        <w:tc>
          <w:tcPr>
            <w:tcW w:type="dxa" w:w="2309"/>
          </w:tcPr>
          <w:p>
            <w:r>
              <w:rPr>
                <w:sz w:val="17"/>
              </w:rPr>
              <w:t>olist_geolocation_dataset.csv</w:t>
            </w:r>
          </w:p>
        </w:tc>
        <w:tc>
          <w:tcPr>
            <w:tcW w:type="dxa" w:w="2309"/>
          </w:tcPr>
          <w:p>
            <w:r>
              <w:rPr>
                <w:sz w:val="17"/>
              </w:rPr>
              <w:t>1,000,163</w:t>
            </w:r>
          </w:p>
        </w:tc>
        <w:tc>
          <w:tcPr>
            <w:tcW w:type="dxa" w:w="2309"/>
          </w:tcPr>
          <w:p>
            <w:r>
              <w:rPr>
                <w:sz w:val="17"/>
              </w:rPr>
              <w:t>5</w:t>
            </w:r>
          </w:p>
        </w:tc>
        <w:tc>
          <w:tcPr>
            <w:tcW w:type="dxa" w:w="2309"/>
          </w:tcPr>
          <w:p>
            <w:r>
              <w:rPr>
                <w:sz w:val="17"/>
              </w:rPr>
              <w:t>zip_code, lat, lng, city, state (deduped to 19,015)</w:t>
            </w:r>
          </w:p>
        </w:tc>
      </w:tr>
      <w:tr>
        <w:tc>
          <w:tcPr>
            <w:tcW w:type="dxa" w:w="2309"/>
          </w:tcPr>
          <w:p>
            <w:r>
              <w:rPr>
                <w:sz w:val="17"/>
              </w:rPr>
              <w:t>product_category_name_translation.csv</w:t>
            </w:r>
          </w:p>
        </w:tc>
        <w:tc>
          <w:tcPr>
            <w:tcW w:type="dxa" w:w="2309"/>
          </w:tcPr>
          <w:p>
            <w:r>
              <w:rPr>
                <w:sz w:val="17"/>
              </w:rPr>
              <w:t>71</w:t>
            </w:r>
          </w:p>
        </w:tc>
        <w:tc>
          <w:tcPr>
            <w:tcW w:type="dxa" w:w="2309"/>
          </w:tcPr>
          <w:p>
            <w:r>
              <w:rPr>
                <w:sz w:val="17"/>
              </w:rPr>
              <w:t>2</w:t>
            </w:r>
          </w:p>
        </w:tc>
        <w:tc>
          <w:tcPr>
            <w:tcW w:type="dxa" w:w="2309"/>
          </w:tcPr>
          <w:p>
            <w:r>
              <w:rPr>
                <w:sz w:val="17"/>
              </w:rPr>
              <w:t>PT category → EN translation</w:t>
            </w:r>
          </w:p>
        </w:tc>
      </w:tr>
    </w:tbl>
    <w:p/>
    <w:p>
      <w:pPr>
        <w:pStyle w:val="Heading1"/>
      </w:pPr>
      <w:r>
        <w:rPr>
          <w:color w:val="00467F"/>
        </w:rPr>
        <w:t>3. Data Cleaning &amp; Preprocessing</w:t>
      </w:r>
    </w:p>
    <w:p>
      <w:pPr>
        <w:jc w:val="left"/>
      </w:pPr>
      <w:r>
        <w:rPr>
          <w:b w:val="0"/>
          <w:i w:val="0"/>
          <w:sz w:val="21"/>
        </w:rPr>
        <w:t>All date columns parsed to datetime64. Missing product numerics filled with column median. Reviews deduplicated to one per order (earliest). Payments and order_items aggregated to order-level before any join to prevent revenue double-counting. Master table = 99,441 rows.</w:t>
      </w:r>
    </w:p>
    <w:p>
      <w:r>
        <w:rPr>
          <w:i/>
          <w:color w:val="3C64A0"/>
          <w:sz w:val="18"/>
        </w:rPr>
        <w:t>▶ Notebook Output: SQLite database load confirmation (cell 64)</w:t>
      </w:r>
    </w:p>
    <w:p>
      <w:pPr>
        <w:ind w:left="283"/>
        <w:shd w:val="clear" w:color="auto" w:fill="F0F4F8"/>
      </w:pPr>
      <w:r>
        <w:rPr>
          <w:rFonts w:ascii="Courier New" w:hAnsi="Courier New"/>
          <w:color w:val="141450"/>
          <w:sz w:val="16"/>
        </w:rPr>
        <w:t>SQLite tables loaded: ['customers', 'geolocation', 'order_items', 'orders', 'payments', 'products', 'reviews', 'sellers']</w:t>
        <w:br/>
        <w:br/>
        <w:t>Row counts:</w:t>
        <w:br/>
        <w:t xml:space="preserve">  customers      :     99,441</w:t>
        <w:br/>
        <w:t xml:space="preserve">  geolocation    :     19,015</w:t>
        <w:br/>
        <w:t xml:space="preserve">  order_items    :    112,650</w:t>
        <w:br/>
        <w:t xml:space="preserve">  orders         :     99,441</w:t>
        <w:br/>
        <w:t xml:space="preserve">  payments       :    103,886</w:t>
        <w:br/>
        <w:t xml:space="preserve">  products       :     32,951</w:t>
        <w:br/>
        <w:t xml:space="preserve">  reviews        :     99,224</w:t>
        <w:br/>
        <w:t xml:space="preserve">  sellers        :      3,095</w:t>
      </w:r>
    </w:p>
    <w:p>
      <w:pPr>
        <w:pStyle w:val="Heading1"/>
      </w:pPr>
      <w:r>
        <w:rPr>
          <w:color w:val="00467F"/>
        </w:rPr>
        <w:t>4. Descriptive Statistics</w:t>
      </w:r>
    </w:p>
    <w:p>
      <w:pPr>
        <w:jc w:val="left"/>
      </w:pPr>
      <w:r>
        <w:rPr>
          <w:b w:val="0"/>
          <w:i w:val="0"/>
          <w:sz w:val="21"/>
        </w:rPr>
        <w:t>Summary statistics for order values, item prices, freight, delivery days, and review scores from actual data:</w:t>
      </w:r>
    </w:p>
    <w:p>
      <w:r>
        <w:rPr>
          <w:i/>
          <w:color w:val="3C64A0"/>
          <w:sz w:val="18"/>
        </w:rPr>
        <w:t>▶ Notebook Output: Descriptive statistics (cell 18)</w:t>
      </w:r>
    </w:p>
    <w:p>
      <w:pPr>
        <w:ind w:left="283"/>
        <w:shd w:val="clear" w:color="auto" w:fill="F0F4F8"/>
      </w:pPr>
      <w:r>
        <w:rPr>
          <w:rFonts w:ascii="Courier New" w:hAnsi="Courier New"/>
          <w:color w:val="141450"/>
          <w:sz w:val="16"/>
        </w:rPr>
        <w:t>=== Order Value Statistics (Delivered Orders) ===</w:t>
        <w:br/>
        <w:t>count   96,478.00</w:t>
        <w:br/>
        <w:t>mean       159.83</w:t>
        <w:br/>
        <w:t>std        218.79</w:t>
        <w:br/>
        <w:t>min          9.59</w:t>
        <w:br/>
        <w:t>25%         61.85</w:t>
        <w:br/>
        <w:t>50%        105.28</w:t>
        <w:br/>
        <w:t>75%        176.26</w:t>
        <w:br/>
        <w:t>max     13,664.08</w:t>
        <w:br/>
        <w:t>Name: total_order_value, dtype: float64</w:t>
        <w:br/>
        <w:br/>
        <w:t>=== Item Price Statistics ===</w:t>
        <w:br/>
        <w:t>count   112,650.00</w:t>
        <w:br/>
        <w:t>mean        120.65</w:t>
        <w:br/>
        <w:t>std         183.63</w:t>
        <w:br/>
        <w:t>min           0.85</w:t>
        <w:br/>
        <w:t>25%          39.90</w:t>
        <w:br/>
        <w:t>50%          74.99</w:t>
        <w:br/>
        <w:t>75%         134.90</w:t>
        <w:br/>
        <w:t>max       6,735.00</w:t>
        <w:br/>
        <w:t>Name: price, dtype: float64</w:t>
        <w:br/>
        <w:br/>
        <w:t>=== Freight Statistics ===</w:t>
        <w:br/>
        <w:t>count   112,650.00</w:t>
        <w:br/>
        <w:t>mean         19.99</w:t>
        <w:br/>
        <w:t>std          15.81</w:t>
        <w:br/>
        <w:t>min           0.00</w:t>
        <w:br/>
        <w:t>25%          13.08</w:t>
        <w:br/>
        <w:t>50%          16.26</w:t>
        <w:br/>
        <w:t>75%          21.15</w:t>
        <w:br/>
        <w:t>max         409.68</w:t>
        <w:br/>
        <w:t>Name: freight_value, dtype: float64</w:t>
        <w:br/>
        <w:br/>
        <w:t>=== Delivery Days Statistics ===</w:t>
        <w:br/>
        <w:t>count   96,470.00</w:t>
        <w:br/>
        <w:t>mean        12.09</w:t>
        <w:br/>
        <w:t>std          9.55</w:t>
        <w:br/>
        <w:t>min          0.00</w:t>
        <w:br/>
        <w:t>25%          6.00</w:t>
        <w:br/>
        <w:t>50%         10.00</w:t>
        <w:br/>
        <w:t>75%         15.00</w:t>
        <w:br/>
        <w:t>max        209.00</w:t>
        <w:br/>
        <w:t>Name: delivery_days, dtype: float64</w:t>
        <w:br/>
        <w:br/>
        <w:t>=== Review Score Statistics ===</w:t>
        <w:br/>
        <w:t>count   95,832.00</w:t>
        <w:br/>
        <w:t>mean         4.16</w:t>
        <w:br/>
        <w:t>std          1.28</w:t>
        <w:br/>
        <w:t>min          1.00</w:t>
        <w:br/>
        <w:t>25%          4.00</w:t>
        <w:br/>
        <w:t>... [4 more lines]</w:t>
      </w:r>
    </w:p>
    <w:p>
      <w:r>
        <w:rPr>
          <w:i/>
          <w:color w:val="3C64A0"/>
          <w:sz w:val="18"/>
        </w:rPr>
        <w:t>▶ Notebook Output: Correlation matrix heatmap (cell 19)</w:t>
      </w:r>
    </w:p>
    <w:p>
      <w:pPr>
        <w:jc w:val="center"/>
      </w:pPr>
      <w:r>
        <w:drawing>
          <wp:inline xmlns:a="http://schemas.openxmlformats.org/drawingml/2006/main" xmlns:pic="http://schemas.openxmlformats.org/drawingml/2006/picture">
            <wp:extent cx="5029200" cy="4470400"/>
            <wp:docPr id="1" name="Picture 1"/>
            <wp:cNvGraphicFramePr>
              <a:graphicFrameLocks noChangeAspect="1"/>
            </wp:cNvGraphicFramePr>
            <a:graphic>
              <a:graphicData uri="http://schemas.openxmlformats.org/drawingml/2006/picture">
                <pic:pic>
                  <pic:nvPicPr>
                    <pic:cNvPr id="0" name="cell_019.png"/>
                    <pic:cNvPicPr/>
                  </pic:nvPicPr>
                  <pic:blipFill>
                    <a:blip r:embed="rId9"/>
                    <a:stretch>
                      <a:fillRect/>
                    </a:stretch>
                  </pic:blipFill>
                  <pic:spPr>
                    <a:xfrm>
                      <a:off x="0" y="0"/>
                      <a:ext cx="5029200" cy="4470400"/>
                    </a:xfrm>
                    <a:prstGeom prst="rect"/>
                  </pic:spPr>
                </pic:pic>
              </a:graphicData>
            </a:graphic>
          </wp:inline>
        </w:drawing>
      </w:r>
    </w:p>
    <w:p>
      <w:pPr>
        <w:jc w:val="center"/>
      </w:pPr>
      <w:r>
        <w:rPr>
          <w:i/>
          <w:color w:val="787878"/>
          <w:sz w:val="17"/>
        </w:rPr>
        <w:t>Fig 1: Correlation matrix of key numeric features</w:t>
      </w:r>
    </w:p>
    <w:p>
      <w:pPr>
        <w:pStyle w:val="Heading1"/>
      </w:pPr>
      <w:r>
        <w:rPr>
          <w:color w:val="00467F"/>
        </w:rPr>
        <w:t>5. Key Performance Indicators</w:t>
      </w:r>
    </w:p>
    <w:p>
      <w:pPr>
        <w:jc w:val="left"/>
      </w:pPr>
      <w:r>
        <w:rPr>
          <w:b w:val="0"/>
          <w:i w:val="0"/>
          <w:sz w:val="21"/>
        </w:rPr>
        <w:t>The following KPIs are computed directly from the delivered-orders subset:</w:t>
      </w:r>
    </w:p>
    <w:p>
      <w:r>
        <w:rPr>
          <w:i/>
          <w:color w:val="3C64A0"/>
          <w:sz w:val="18"/>
        </w:rPr>
        <w:t>▶ Notebook Output: KPI dashboard output (cell 21)</w:t>
      </w:r>
    </w:p>
    <w:p>
      <w:pPr>
        <w:ind w:left="283"/>
        <w:shd w:val="clear" w:color="auto" w:fill="F0F4F8"/>
      </w:pPr>
      <w:r>
        <w:rPr>
          <w:rFonts w:ascii="Courier New" w:hAnsi="Courier New"/>
          <w:color w:val="141450"/>
          <w:sz w:val="16"/>
        </w:rPr>
        <w:t>=============================================</w:t>
        <w:br/>
        <w:t xml:space="preserve">          KEY PERFORMANCE INDICATORS         </w:t>
        <w:br/>
        <w:t>=============================================</w:t>
        <w:br/>
        <w:t xml:space="preserve">  Total Revenue (BRL)            R$ 13,221,498.11</w:t>
        <w:br/>
        <w:t xml:space="preserve">  Total Delivered Orders               96,478</w:t>
        <w:br/>
        <w:t xml:space="preserve">  Unique Customers                     93,358</w:t>
        <w:br/>
        <w:t xml:space="preserve">  Avg Order Value (BRL)             R$ 159.83</w:t>
        <w:br/>
        <w:t xml:space="preserve">  Avg Review Score                   4.16 / 5</w:t>
        <w:br/>
        <w:t xml:space="preserve">  Avg Delivery Time (days)               12.1</w:t>
        <w:br/>
        <w:t xml:space="preserve">  Active Sellers                        3,095</w:t>
        <w:br/>
        <w:t xml:space="preserve">  Unique Products                      32,951</w:t>
        <w:br/>
        <w:t xml:space="preserve">  Repeat Customer Rate                  3.12%</w:t>
        <w:br/>
        <w:t>=============================================</w:t>
      </w:r>
    </w:p>
    <w:p>
      <w:pPr>
        <w:jc w:val="left"/>
      </w:pPr>
      <w:r>
        <w:rPr>
          <w:b w:val="0"/>
          <w:i w:val="0"/>
          <w:sz w:val="21"/>
        </w:rPr>
        <w:br/>
        <w:t>Formatted KPI table:</w:t>
      </w:r>
    </w:p>
    <w:tbl>
      <w:tblPr>
        <w:tblStyle w:val="TableGrid"/>
        <w:tblW w:type="auto" w:w="0"/>
        <w:jc w:val="center"/>
        <w:tblLook w:firstColumn="1" w:firstRow="1" w:lastColumn="0" w:lastRow="0" w:noHBand="0" w:noVBand="1" w:val="04A0"/>
      </w:tblPr>
      <w:tblGrid>
        <w:gridCol w:w="4618"/>
        <w:gridCol w:w="4618"/>
      </w:tblGrid>
      <w:tr>
        <w:tc>
          <w:tcPr>
            <w:tcW w:type="dxa" w:w="4618"/>
            <w:shd w:val="clear" w:color="auto" w:fill="1F4E79"/>
          </w:tcPr>
          <w:p>
            <w:r>
              <w:rPr>
                <w:b/>
                <w:color w:val="FFFFFF"/>
                <w:sz w:val="17"/>
              </w:rPr>
              <w:t>KPI</w:t>
            </w:r>
          </w:p>
        </w:tc>
        <w:tc>
          <w:tcPr>
            <w:tcW w:type="dxa" w:w="4618"/>
            <w:shd w:val="clear" w:color="auto" w:fill="1F4E79"/>
          </w:tcPr>
          <w:p>
            <w:r>
              <w:rPr>
                <w:b/>
                <w:color w:val="FFFFFF"/>
                <w:sz w:val="17"/>
              </w:rPr>
              <w:t>Value</w:t>
            </w:r>
          </w:p>
        </w:tc>
      </w:tr>
      <w:tr>
        <w:tc>
          <w:tcPr>
            <w:tcW w:type="dxa" w:w="4618"/>
          </w:tcPr>
          <w:p>
            <w:r>
              <w:rPr>
                <w:sz w:val="17"/>
              </w:rPr>
              <w:t>Total Product Revenue</w:t>
            </w:r>
          </w:p>
        </w:tc>
        <w:tc>
          <w:tcPr>
            <w:tcW w:type="dxa" w:w="4618"/>
          </w:tcPr>
          <w:p>
            <w:r>
              <w:rPr>
                <w:sz w:val="17"/>
              </w:rPr>
              <w:t>R$ 13,221,498.11</w:t>
            </w:r>
          </w:p>
        </w:tc>
      </w:tr>
      <w:tr>
        <w:tc>
          <w:tcPr>
            <w:tcW w:type="dxa" w:w="4618"/>
          </w:tcPr>
          <w:p>
            <w:r>
              <w:rPr>
                <w:sz w:val="17"/>
              </w:rPr>
              <w:t>Total Freight Revenue</w:t>
            </w:r>
          </w:p>
        </w:tc>
        <w:tc>
          <w:tcPr>
            <w:tcW w:type="dxa" w:w="4618"/>
          </w:tcPr>
          <w:p>
            <w:r>
              <w:rPr>
                <w:sz w:val="17"/>
              </w:rPr>
              <w:t>R$  2,198,275.64</w:t>
            </w:r>
          </w:p>
        </w:tc>
      </w:tr>
      <w:tr>
        <w:tc>
          <w:tcPr>
            <w:tcW w:type="dxa" w:w="4618"/>
          </w:tcPr>
          <w:p>
            <w:r>
              <w:rPr>
                <w:sz w:val="17"/>
              </w:rPr>
              <w:t>Total GMV (product+freight)</w:t>
            </w:r>
          </w:p>
        </w:tc>
        <w:tc>
          <w:tcPr>
            <w:tcW w:type="dxa" w:w="4618"/>
          </w:tcPr>
          <w:p>
            <w:r>
              <w:rPr>
                <w:sz w:val="17"/>
              </w:rPr>
              <w:t>R$ 15,419,773.75</w:t>
            </w:r>
          </w:p>
        </w:tc>
      </w:tr>
      <w:tr>
        <w:tc>
          <w:tcPr>
            <w:tcW w:type="dxa" w:w="4618"/>
          </w:tcPr>
          <w:p>
            <w:r>
              <w:rPr>
                <w:sz w:val="17"/>
              </w:rPr>
              <w:t>Total Delivered Orders</w:t>
            </w:r>
          </w:p>
        </w:tc>
        <w:tc>
          <w:tcPr>
            <w:tcW w:type="dxa" w:w="4618"/>
          </w:tcPr>
          <w:p>
            <w:r>
              <w:rPr>
                <w:sz w:val="17"/>
              </w:rPr>
              <w:t>96,478</w:t>
            </w:r>
          </w:p>
        </w:tc>
      </w:tr>
      <w:tr>
        <w:tc>
          <w:tcPr>
            <w:tcW w:type="dxa" w:w="4618"/>
          </w:tcPr>
          <w:p>
            <w:r>
              <w:rPr>
                <w:sz w:val="17"/>
              </w:rPr>
              <w:t>Unique Customers</w:t>
            </w:r>
          </w:p>
        </w:tc>
        <w:tc>
          <w:tcPr>
            <w:tcW w:type="dxa" w:w="4618"/>
          </w:tcPr>
          <w:p>
            <w:r>
              <w:rPr>
                <w:sz w:val="17"/>
              </w:rPr>
              <w:t>93,358</w:t>
            </w:r>
          </w:p>
        </w:tc>
      </w:tr>
      <w:tr>
        <w:tc>
          <w:tcPr>
            <w:tcW w:type="dxa" w:w="4618"/>
          </w:tcPr>
          <w:p>
            <w:r>
              <w:rPr>
                <w:sz w:val="17"/>
              </w:rPr>
              <w:t>Average Order Value</w:t>
            </w:r>
          </w:p>
        </w:tc>
        <w:tc>
          <w:tcPr>
            <w:tcW w:type="dxa" w:w="4618"/>
          </w:tcPr>
          <w:p>
            <w:r>
              <w:rPr>
                <w:sz w:val="17"/>
              </w:rPr>
              <w:t>R$ 159.83</w:t>
            </w:r>
          </w:p>
        </w:tc>
      </w:tr>
      <w:tr>
        <w:tc>
          <w:tcPr>
            <w:tcW w:type="dxa" w:w="4618"/>
          </w:tcPr>
          <w:p>
            <w:r>
              <w:rPr>
                <w:sz w:val="17"/>
              </w:rPr>
              <w:t>Average Review Score</w:t>
            </w:r>
          </w:p>
        </w:tc>
        <w:tc>
          <w:tcPr>
            <w:tcW w:type="dxa" w:w="4618"/>
          </w:tcPr>
          <w:p>
            <w:r>
              <w:rPr>
                <w:sz w:val="17"/>
              </w:rPr>
              <w:t>4.16 / 5</w:t>
            </w:r>
          </w:p>
        </w:tc>
      </w:tr>
      <w:tr>
        <w:tc>
          <w:tcPr>
            <w:tcW w:type="dxa" w:w="4618"/>
          </w:tcPr>
          <w:p>
            <w:r>
              <w:rPr>
                <w:sz w:val="17"/>
              </w:rPr>
              <w:t>Average Delivery Time</w:t>
            </w:r>
          </w:p>
        </w:tc>
        <w:tc>
          <w:tcPr>
            <w:tcW w:type="dxa" w:w="4618"/>
          </w:tcPr>
          <w:p>
            <w:r>
              <w:rPr>
                <w:sz w:val="17"/>
              </w:rPr>
              <w:t>12.1 days</w:t>
            </w:r>
          </w:p>
        </w:tc>
      </w:tr>
      <w:tr>
        <w:tc>
          <w:tcPr>
            <w:tcW w:type="dxa" w:w="4618"/>
          </w:tcPr>
          <w:p>
            <w:r>
              <w:rPr>
                <w:sz w:val="17"/>
              </w:rPr>
              <w:t>Active Sellers</w:t>
            </w:r>
          </w:p>
        </w:tc>
        <w:tc>
          <w:tcPr>
            <w:tcW w:type="dxa" w:w="4618"/>
          </w:tcPr>
          <w:p>
            <w:r>
              <w:rPr>
                <w:sz w:val="17"/>
              </w:rPr>
              <w:t>3,095</w:t>
            </w:r>
          </w:p>
        </w:tc>
      </w:tr>
      <w:tr>
        <w:tc>
          <w:tcPr>
            <w:tcW w:type="dxa" w:w="4618"/>
          </w:tcPr>
          <w:p>
            <w:r>
              <w:rPr>
                <w:sz w:val="17"/>
              </w:rPr>
              <w:t>Unique Products</w:t>
            </w:r>
          </w:p>
        </w:tc>
        <w:tc>
          <w:tcPr>
            <w:tcW w:type="dxa" w:w="4618"/>
          </w:tcPr>
          <w:p>
            <w:r>
              <w:rPr>
                <w:sz w:val="17"/>
              </w:rPr>
              <w:t>32,951</w:t>
            </w:r>
          </w:p>
        </w:tc>
      </w:tr>
      <w:tr>
        <w:tc>
          <w:tcPr>
            <w:tcW w:type="dxa" w:w="4618"/>
          </w:tcPr>
          <w:p>
            <w:r>
              <w:rPr>
                <w:sz w:val="17"/>
              </w:rPr>
              <w:t>Repeat Customer Rate</w:t>
            </w:r>
          </w:p>
        </w:tc>
        <w:tc>
          <w:tcPr>
            <w:tcW w:type="dxa" w:w="4618"/>
          </w:tcPr>
          <w:p>
            <w:r>
              <w:rPr>
                <w:sz w:val="17"/>
              </w:rPr>
              <w:t>3.12%</w:t>
            </w:r>
          </w:p>
        </w:tc>
      </w:tr>
      <w:tr>
        <w:tc>
          <w:tcPr>
            <w:tcW w:type="dxa" w:w="4618"/>
          </w:tcPr>
          <w:p>
            <w:r>
              <w:rPr>
                <w:sz w:val="17"/>
              </w:rPr>
              <w:t>Single-Purchase Rate</w:t>
            </w:r>
          </w:p>
        </w:tc>
        <w:tc>
          <w:tcPr>
            <w:tcW w:type="dxa" w:w="4618"/>
          </w:tcPr>
          <w:p>
            <w:r>
              <w:rPr>
                <w:sz w:val="17"/>
              </w:rPr>
              <w:t>97.00%</w:t>
            </w:r>
          </w:p>
        </w:tc>
      </w:tr>
    </w:tbl>
    <w:p/>
    <w:p>
      <w:r>
        <w:rPr>
          <w:i/>
          <w:color w:val="3C64A0"/>
          <w:sz w:val="18"/>
        </w:rPr>
        <w:t>▶ Notebook Output: Final KPI Dashboard – 6-panel visualisation (cell 62)</w:t>
      </w:r>
    </w:p>
    <w:p>
      <w:pPr>
        <w:jc w:val="center"/>
      </w:pPr>
      <w:r>
        <w:drawing>
          <wp:inline xmlns:a="http://schemas.openxmlformats.org/drawingml/2006/main" xmlns:pic="http://schemas.openxmlformats.org/drawingml/2006/picture">
            <wp:extent cx="5669280" cy="3094418"/>
            <wp:docPr id="2" name="Picture 2"/>
            <wp:cNvGraphicFramePr>
              <a:graphicFrameLocks noChangeAspect="1"/>
            </wp:cNvGraphicFramePr>
            <a:graphic>
              <a:graphicData uri="http://schemas.openxmlformats.org/drawingml/2006/picture">
                <pic:pic>
                  <pic:nvPicPr>
                    <pic:cNvPr id="0" name="cell_062.png"/>
                    <pic:cNvPicPr/>
                  </pic:nvPicPr>
                  <pic:blipFill>
                    <a:blip r:embed="rId10"/>
                    <a:stretch>
                      <a:fillRect/>
                    </a:stretch>
                  </pic:blipFill>
                  <pic:spPr>
                    <a:xfrm>
                      <a:off x="0" y="0"/>
                      <a:ext cx="5669280" cy="3094418"/>
                    </a:xfrm>
                    <a:prstGeom prst="rect"/>
                  </pic:spPr>
                </pic:pic>
              </a:graphicData>
            </a:graphic>
          </wp:inline>
        </w:drawing>
      </w:r>
    </w:p>
    <w:p>
      <w:pPr>
        <w:jc w:val="center"/>
      </w:pPr>
      <w:r>
        <w:rPr>
          <w:i/>
          <w:color w:val="787878"/>
          <w:sz w:val="17"/>
        </w:rPr>
        <w:t>Fig 2: KPI Dashboard — revenue, categories, reviews, states, payment, RFM</w:t>
      </w:r>
    </w:p>
    <w:p>
      <w:r>
        <w:br w:type="page"/>
      </w:r>
    </w:p>
    <w:p>
      <w:pPr>
        <w:pStyle w:val="Heading1"/>
      </w:pPr>
      <w:r>
        <w:rPr>
          <w:color w:val="00467F"/>
        </w:rPr>
        <w:t>6. Exploratory Data Analysis (EDA)</w:t>
      </w:r>
    </w:p>
    <w:p>
      <w:r>
        <w:rPr>
          <w:i/>
          <w:color w:val="3C64A0"/>
          <w:sz w:val="18"/>
        </w:rPr>
        <w:t>▶ Notebook Output: Missing values and order status (cell 15)</w:t>
      </w:r>
    </w:p>
    <w:p>
      <w:pPr>
        <w:jc w:val="center"/>
      </w:pPr>
      <w:r>
        <w:drawing>
          <wp:inline xmlns:a="http://schemas.openxmlformats.org/drawingml/2006/main" xmlns:pic="http://schemas.openxmlformats.org/drawingml/2006/picture">
            <wp:extent cx="5669280" cy="1982609"/>
            <wp:docPr id="3" name="Picture 3"/>
            <wp:cNvGraphicFramePr>
              <a:graphicFrameLocks noChangeAspect="1"/>
            </wp:cNvGraphicFramePr>
            <a:graphic>
              <a:graphicData uri="http://schemas.openxmlformats.org/drawingml/2006/picture">
                <pic:pic>
                  <pic:nvPicPr>
                    <pic:cNvPr id="0" name="cell_015.png"/>
                    <pic:cNvPicPr/>
                  </pic:nvPicPr>
                  <pic:blipFill>
                    <a:blip r:embed="rId11"/>
                    <a:stretch>
                      <a:fillRect/>
                    </a:stretch>
                  </pic:blipFill>
                  <pic:spPr>
                    <a:xfrm>
                      <a:off x="0" y="0"/>
                      <a:ext cx="5669280" cy="1982609"/>
                    </a:xfrm>
                    <a:prstGeom prst="rect"/>
                  </pic:spPr>
                </pic:pic>
              </a:graphicData>
            </a:graphic>
          </wp:inline>
        </w:drawing>
      </w:r>
    </w:p>
    <w:p>
      <w:pPr>
        <w:jc w:val="center"/>
      </w:pPr>
      <w:r>
        <w:rPr>
          <w:i/>
          <w:color w:val="787878"/>
          <w:sz w:val="17"/>
        </w:rPr>
        <w:t>Fig 3: Missing values (left) and order status distribution (right)</w:t>
      </w:r>
    </w:p>
    <w:p>
      <w:r>
        <w:rPr>
          <w:i/>
          <w:color w:val="3C64A0"/>
          <w:sz w:val="18"/>
        </w:rPr>
        <w:t>▶ Notebook Output: Price, freight, and order value distributions (cell 16)</w:t>
      </w:r>
    </w:p>
    <w:p>
      <w:pPr>
        <w:jc w:val="center"/>
      </w:pPr>
      <w:r>
        <w:drawing>
          <wp:inline xmlns:a="http://schemas.openxmlformats.org/drawingml/2006/main" xmlns:pic="http://schemas.openxmlformats.org/drawingml/2006/picture">
            <wp:extent cx="5669280" cy="1463163"/>
            <wp:docPr id="4" name="Picture 4"/>
            <wp:cNvGraphicFramePr>
              <a:graphicFrameLocks noChangeAspect="1"/>
            </wp:cNvGraphicFramePr>
            <a:graphic>
              <a:graphicData uri="http://schemas.openxmlformats.org/drawingml/2006/picture">
                <pic:pic>
                  <pic:nvPicPr>
                    <pic:cNvPr id="0" name="cell_016.png"/>
                    <pic:cNvPicPr/>
                  </pic:nvPicPr>
                  <pic:blipFill>
                    <a:blip r:embed="rId12"/>
                    <a:stretch>
                      <a:fillRect/>
                    </a:stretch>
                  </pic:blipFill>
                  <pic:spPr>
                    <a:xfrm>
                      <a:off x="0" y="0"/>
                      <a:ext cx="5669280" cy="1463163"/>
                    </a:xfrm>
                    <a:prstGeom prst="rect"/>
                  </pic:spPr>
                </pic:pic>
              </a:graphicData>
            </a:graphic>
          </wp:inline>
        </w:drawing>
      </w:r>
    </w:p>
    <w:p>
      <w:pPr>
        <w:jc w:val="center"/>
      </w:pPr>
      <w:r>
        <w:rPr>
          <w:i/>
          <w:color w:val="787878"/>
          <w:sz w:val="17"/>
        </w:rPr>
        <w:t>Fig 4: Price distribution, freight distribution, order value distribution</w:t>
      </w:r>
    </w:p>
    <w:p>
      <w:pPr>
        <w:pStyle w:val="Heading1"/>
      </w:pPr>
      <w:r>
        <w:rPr>
          <w:color w:val="00467F"/>
        </w:rPr>
        <w:t>7. Sales Analysis</w:t>
      </w:r>
    </w:p>
    <w:p>
      <w:pPr>
        <w:pStyle w:val="Heading2"/>
      </w:pPr>
      <w:r>
        <w:rPr>
          <w:color w:val="00467F"/>
        </w:rPr>
        <w:t>7.1 Monthly Revenue Trend (Q1)</w:t>
      </w:r>
    </w:p>
    <w:p>
      <w:pPr>
        <w:jc w:val="left"/>
      </w:pPr>
      <w:r>
        <w:rPr>
          <w:b w:val="0"/>
          <w:i w:val="0"/>
          <w:sz w:val="21"/>
        </w:rPr>
        <w:t>Peak month: November 2017 (R$ 987,765). Revenue grew from R$40K/month in Oct 2016 to over R$600K/month by late 2018.</w:t>
      </w:r>
    </w:p>
    <w:p>
      <w:r>
        <w:rPr>
          <w:i/>
          <w:color w:val="3C64A0"/>
          <w:sz w:val="18"/>
        </w:rPr>
        <w:t>▶ Notebook Output: Monthly revenue and order volume (cell 23)</w:t>
      </w:r>
    </w:p>
    <w:p>
      <w:pPr>
        <w:jc w:val="center"/>
      </w:pPr>
      <w:r>
        <w:drawing>
          <wp:inline xmlns:a="http://schemas.openxmlformats.org/drawingml/2006/main" xmlns:pic="http://schemas.openxmlformats.org/drawingml/2006/picture">
            <wp:extent cx="5669280" cy="1982609"/>
            <wp:docPr id="5" name="Picture 5"/>
            <wp:cNvGraphicFramePr>
              <a:graphicFrameLocks noChangeAspect="1"/>
            </wp:cNvGraphicFramePr>
            <a:graphic>
              <a:graphicData uri="http://schemas.openxmlformats.org/drawingml/2006/picture">
                <pic:pic>
                  <pic:nvPicPr>
                    <pic:cNvPr id="0" name="cell_023.png"/>
                    <pic:cNvPicPr/>
                  </pic:nvPicPr>
                  <pic:blipFill>
                    <a:blip r:embed="rId13"/>
                    <a:stretch>
                      <a:fillRect/>
                    </a:stretch>
                  </pic:blipFill>
                  <pic:spPr>
                    <a:xfrm>
                      <a:off x="0" y="0"/>
                      <a:ext cx="5669280" cy="1982609"/>
                    </a:xfrm>
                    <a:prstGeom prst="rect"/>
                  </pic:spPr>
                </pic:pic>
              </a:graphicData>
            </a:graphic>
          </wp:inline>
        </w:drawing>
      </w:r>
    </w:p>
    <w:p>
      <w:pPr>
        <w:jc w:val="center"/>
      </w:pPr>
      <w:r>
        <w:rPr>
          <w:i/>
          <w:color w:val="787878"/>
          <w:sz w:val="17"/>
        </w:rPr>
        <w:t>Fig 5: Monthly revenue (bars) and order volume (line), Sep 2016 – Oct 2018</w:t>
      </w:r>
    </w:p>
    <w:p>
      <w:pPr>
        <w:pStyle w:val="Heading2"/>
      </w:pPr>
      <w:r>
        <w:rPr>
          <w:color w:val="00467F"/>
        </w:rPr>
        <w:t>7.2 Top 15 Product Categories by Revenue (Q2)</w:t>
      </w:r>
    </w:p>
    <w:p>
      <w:r>
        <w:rPr>
          <w:i/>
          <w:color w:val="3C64A0"/>
          <w:sz w:val="18"/>
        </w:rPr>
        <w:t>▶ Notebook Output: Top 5 categories text output (cell 24)</w:t>
      </w:r>
    </w:p>
    <w:p>
      <w:pPr>
        <w:ind w:left="283"/>
        <w:shd w:val="clear" w:color="auto" w:fill="F0F4F8"/>
      </w:pPr>
      <w:r>
        <w:rPr>
          <w:rFonts w:ascii="Courier New" w:hAnsi="Courier New"/>
          <w:color w:val="141450"/>
          <w:sz w:val="16"/>
        </w:rPr>
        <w:t>Top 5 categories by revenue:</w:t>
        <w:br/>
        <w:t xml:space="preserve">  product_category_name_english      revenue  orders</w:t>
        <w:br/>
        <w:t>0                 health_beauty 1,233,131.72    8647</w:t>
        <w:br/>
        <w:t>1                 watches_gifts 1,166,176.98    5495</w:t>
        <w:br/>
        <w:t>2                bed_bath_table 1,023,434.76    9272</w:t>
        <w:br/>
        <w:t>3                sports_leisure   954,852.55    7530</w:t>
        <w:br/>
        <w:t>4         computers_accessories   888,724.61    6530</w:t>
      </w:r>
    </w:p>
    <w:p>
      <w:r>
        <w:rPr>
          <w:i/>
          <w:color w:val="3C64A0"/>
          <w:sz w:val="18"/>
        </w:rPr>
        <w:t>▶ Notebook Output: Top 15 categories chart (cell 24)</w:t>
      </w:r>
    </w:p>
    <w:p>
      <w:pPr>
        <w:jc w:val="center"/>
      </w:pPr>
      <w:r>
        <w:drawing>
          <wp:inline xmlns:a="http://schemas.openxmlformats.org/drawingml/2006/main" xmlns:pic="http://schemas.openxmlformats.org/drawingml/2006/picture">
            <wp:extent cx="5486400" cy="2708417"/>
            <wp:docPr id="6" name="Picture 6"/>
            <wp:cNvGraphicFramePr>
              <a:graphicFrameLocks noChangeAspect="1"/>
            </wp:cNvGraphicFramePr>
            <a:graphic>
              <a:graphicData uri="http://schemas.openxmlformats.org/drawingml/2006/picture">
                <pic:pic>
                  <pic:nvPicPr>
                    <pic:cNvPr id="0" name="cell_024.png"/>
                    <pic:cNvPicPr/>
                  </pic:nvPicPr>
                  <pic:blipFill>
                    <a:blip r:embed="rId14"/>
                    <a:stretch>
                      <a:fillRect/>
                    </a:stretch>
                  </pic:blipFill>
                  <pic:spPr>
                    <a:xfrm>
                      <a:off x="0" y="0"/>
                      <a:ext cx="5486400" cy="2708417"/>
                    </a:xfrm>
                    <a:prstGeom prst="rect"/>
                  </pic:spPr>
                </pic:pic>
              </a:graphicData>
            </a:graphic>
          </wp:inline>
        </w:drawing>
      </w:r>
    </w:p>
    <w:p>
      <w:pPr>
        <w:jc w:val="center"/>
      </w:pPr>
      <w:r>
        <w:rPr>
          <w:i/>
          <w:color w:val="787878"/>
          <w:sz w:val="17"/>
        </w:rPr>
        <w:t>Fig 6: Top 15 product categories by revenue (BRL)</w:t>
      </w:r>
    </w:p>
    <w:p>
      <w:pPr>
        <w:pStyle w:val="Heading2"/>
      </w:pPr>
      <w:r>
        <w:rPr>
          <w:color w:val="00467F"/>
        </w:rPr>
        <w:t>7.3 Average Order Value by Category (Q3)</w:t>
      </w:r>
    </w:p>
    <w:p>
      <w:r>
        <w:rPr>
          <w:i/>
          <w:color w:val="3C64A0"/>
          <w:sz w:val="18"/>
        </w:rPr>
        <w:t>▶ Notebook Output: AOV by category (cell 25)</w:t>
      </w:r>
    </w:p>
    <w:p>
      <w:pPr>
        <w:jc w:val="center"/>
      </w:pPr>
      <w:r>
        <w:drawing>
          <wp:inline xmlns:a="http://schemas.openxmlformats.org/drawingml/2006/main" xmlns:pic="http://schemas.openxmlformats.org/drawingml/2006/picture">
            <wp:extent cx="5486400" cy="2242751"/>
            <wp:docPr id="7" name="Picture 7"/>
            <wp:cNvGraphicFramePr>
              <a:graphicFrameLocks noChangeAspect="1"/>
            </wp:cNvGraphicFramePr>
            <a:graphic>
              <a:graphicData uri="http://schemas.openxmlformats.org/drawingml/2006/picture">
                <pic:pic>
                  <pic:nvPicPr>
                    <pic:cNvPr id="0" name="cell_025.png"/>
                    <pic:cNvPicPr/>
                  </pic:nvPicPr>
                  <pic:blipFill>
                    <a:blip r:embed="rId15"/>
                    <a:stretch>
                      <a:fillRect/>
                    </a:stretch>
                  </pic:blipFill>
                  <pic:spPr>
                    <a:xfrm>
                      <a:off x="0" y="0"/>
                      <a:ext cx="5486400" cy="2242751"/>
                    </a:xfrm>
                    <a:prstGeom prst="rect"/>
                  </pic:spPr>
                </pic:pic>
              </a:graphicData>
            </a:graphic>
          </wp:inline>
        </w:drawing>
      </w:r>
    </w:p>
    <w:p>
      <w:pPr>
        <w:jc w:val="center"/>
      </w:pPr>
      <w:r>
        <w:rPr>
          <w:i/>
          <w:color w:val="787878"/>
          <w:sz w:val="17"/>
        </w:rPr>
        <w:t>Fig 7: Average order value by top 15 product categories</w:t>
      </w:r>
    </w:p>
    <w:p>
      <w:pPr>
        <w:pStyle w:val="Heading2"/>
      </w:pPr>
      <w:r>
        <w:rPr>
          <w:color w:val="00467F"/>
        </w:rPr>
        <w:t>7.4 Orders by Day of Week (Q4)</w:t>
      </w:r>
    </w:p>
    <w:p>
      <w:r>
        <w:rPr>
          <w:i/>
          <w:color w:val="3C64A0"/>
          <w:sz w:val="18"/>
        </w:rPr>
        <w:t>▶ Notebook Output: Orders and revenue by day of week (cell 26)</w:t>
      </w:r>
    </w:p>
    <w:p>
      <w:pPr>
        <w:jc w:val="center"/>
      </w:pPr>
      <w:r>
        <w:drawing>
          <wp:inline xmlns:a="http://schemas.openxmlformats.org/drawingml/2006/main" xmlns:pic="http://schemas.openxmlformats.org/drawingml/2006/picture">
            <wp:extent cx="5669280" cy="1695486"/>
            <wp:docPr id="8" name="Picture 8"/>
            <wp:cNvGraphicFramePr>
              <a:graphicFrameLocks noChangeAspect="1"/>
            </wp:cNvGraphicFramePr>
            <a:graphic>
              <a:graphicData uri="http://schemas.openxmlformats.org/drawingml/2006/picture">
                <pic:pic>
                  <pic:nvPicPr>
                    <pic:cNvPr id="0" name="cell_026.png"/>
                    <pic:cNvPicPr/>
                  </pic:nvPicPr>
                  <pic:blipFill>
                    <a:blip r:embed="rId16"/>
                    <a:stretch>
                      <a:fillRect/>
                    </a:stretch>
                  </pic:blipFill>
                  <pic:spPr>
                    <a:xfrm>
                      <a:off x="0" y="0"/>
                      <a:ext cx="5669280" cy="1695486"/>
                    </a:xfrm>
                    <a:prstGeom prst="rect"/>
                  </pic:spPr>
                </pic:pic>
              </a:graphicData>
            </a:graphic>
          </wp:inline>
        </w:drawing>
      </w:r>
    </w:p>
    <w:p>
      <w:pPr>
        <w:jc w:val="center"/>
      </w:pPr>
      <w:r>
        <w:rPr>
          <w:i/>
          <w:color w:val="787878"/>
          <w:sz w:val="17"/>
        </w:rPr>
        <w:t>Fig 8: Order volume (left) and revenue (right) by day of week</w:t>
      </w:r>
    </w:p>
    <w:p>
      <w:pPr>
        <w:pStyle w:val="Heading2"/>
      </w:pPr>
      <w:r>
        <w:rPr>
          <w:color w:val="00467F"/>
        </w:rPr>
        <w:t>7.5 Order Value Distribution Buckets (Q5)</w:t>
      </w:r>
    </w:p>
    <w:p>
      <w:r>
        <w:rPr>
          <w:i/>
          <w:color w:val="3C64A0"/>
          <w:sz w:val="18"/>
        </w:rPr>
        <w:t>▶ Notebook Output: Order value bucket distribution (cell 27)</w:t>
      </w:r>
    </w:p>
    <w:p>
      <w:pPr>
        <w:jc w:val="center"/>
      </w:pPr>
      <w:r>
        <w:drawing>
          <wp:inline xmlns:a="http://schemas.openxmlformats.org/drawingml/2006/main" xmlns:pic="http://schemas.openxmlformats.org/drawingml/2006/picture">
            <wp:extent cx="5303520" cy="2069666"/>
            <wp:docPr id="9" name="Picture 9"/>
            <wp:cNvGraphicFramePr>
              <a:graphicFrameLocks noChangeAspect="1"/>
            </wp:cNvGraphicFramePr>
            <a:graphic>
              <a:graphicData uri="http://schemas.openxmlformats.org/drawingml/2006/picture">
                <pic:pic>
                  <pic:nvPicPr>
                    <pic:cNvPr id="0" name="cell_027.png"/>
                    <pic:cNvPicPr/>
                  </pic:nvPicPr>
                  <pic:blipFill>
                    <a:blip r:embed="rId17"/>
                    <a:stretch>
                      <a:fillRect/>
                    </a:stretch>
                  </pic:blipFill>
                  <pic:spPr>
                    <a:xfrm>
                      <a:off x="0" y="0"/>
                      <a:ext cx="5303520" cy="2069666"/>
                    </a:xfrm>
                    <a:prstGeom prst="rect"/>
                  </pic:spPr>
                </pic:pic>
              </a:graphicData>
            </a:graphic>
          </wp:inline>
        </w:drawing>
      </w:r>
    </w:p>
    <w:p>
      <w:pPr>
        <w:jc w:val="center"/>
      </w:pPr>
      <w:r>
        <w:rPr>
          <w:i/>
          <w:color w:val="787878"/>
          <w:sz w:val="17"/>
        </w:rPr>
        <w:t>Fig 9: Order count by value bucket (BRL)</w:t>
      </w:r>
    </w:p>
    <w:p>
      <w:r>
        <w:br w:type="page"/>
      </w:r>
    </w:p>
    <w:p>
      <w:pPr>
        <w:pStyle w:val="Heading1"/>
      </w:pPr>
      <w:r>
        <w:rPr>
          <w:color w:val="00467F"/>
        </w:rPr>
        <w:t>8. Time Series Analysis</w:t>
      </w:r>
    </w:p>
    <w:p>
      <w:pPr>
        <w:pStyle w:val="Heading2"/>
      </w:pPr>
      <w:r>
        <w:rPr>
          <w:color w:val="00467F"/>
        </w:rPr>
        <w:t>8.1 Hourly Order Pattern (Q6)</w:t>
      </w:r>
    </w:p>
    <w:p>
      <w:r>
        <w:rPr>
          <w:i/>
          <w:color w:val="3C64A0"/>
          <w:sz w:val="18"/>
        </w:rPr>
        <w:t>▶ Notebook Output: Orders by hour of day (cell 29)</w:t>
      </w:r>
    </w:p>
    <w:p>
      <w:pPr>
        <w:jc w:val="center"/>
      </w:pPr>
      <w:r>
        <w:drawing>
          <wp:inline xmlns:a="http://schemas.openxmlformats.org/drawingml/2006/main" xmlns:pic="http://schemas.openxmlformats.org/drawingml/2006/picture">
            <wp:extent cx="5486400" cy="1779373"/>
            <wp:docPr id="10" name="Picture 10"/>
            <wp:cNvGraphicFramePr>
              <a:graphicFrameLocks noChangeAspect="1"/>
            </wp:cNvGraphicFramePr>
            <a:graphic>
              <a:graphicData uri="http://schemas.openxmlformats.org/drawingml/2006/picture">
                <pic:pic>
                  <pic:nvPicPr>
                    <pic:cNvPr id="0" name="cell_029.png"/>
                    <pic:cNvPicPr/>
                  </pic:nvPicPr>
                  <pic:blipFill>
                    <a:blip r:embed="rId18"/>
                    <a:stretch>
                      <a:fillRect/>
                    </a:stretch>
                  </pic:blipFill>
                  <pic:spPr>
                    <a:xfrm>
                      <a:off x="0" y="0"/>
                      <a:ext cx="5486400" cy="1779373"/>
                    </a:xfrm>
                    <a:prstGeom prst="rect"/>
                  </pic:spPr>
                </pic:pic>
              </a:graphicData>
            </a:graphic>
          </wp:inline>
        </w:drawing>
      </w:r>
    </w:p>
    <w:p>
      <w:pPr>
        <w:jc w:val="center"/>
      </w:pPr>
      <w:r>
        <w:rPr>
          <w:i/>
          <w:color w:val="787878"/>
          <w:sz w:val="17"/>
        </w:rPr>
        <w:t>Fig 10: Order volume by hour of day — peaks at 14:00-21:00</w:t>
      </w:r>
    </w:p>
    <w:p>
      <w:pPr>
        <w:pStyle w:val="Heading2"/>
      </w:pPr>
      <w:r>
        <w:rPr>
          <w:color w:val="00467F"/>
        </w:rPr>
        <w:t>8.2 Year-over-Year Revenue Growth (Q7)</w:t>
      </w:r>
    </w:p>
    <w:p>
      <w:r>
        <w:rPr>
          <w:i/>
          <w:color w:val="3C64A0"/>
          <w:sz w:val="18"/>
        </w:rPr>
        <w:t>▶ Notebook Output: YoY comparison output (cell 30)</w:t>
      </w:r>
    </w:p>
    <w:p>
      <w:pPr>
        <w:ind w:left="283"/>
        <w:shd w:val="clear" w:color="auto" w:fill="F0F4F8"/>
      </w:pPr>
      <w:r>
        <w:rPr>
          <w:rFonts w:ascii="Courier New" w:hAnsi="Courier New"/>
          <w:color w:val="141450"/>
          <w:sz w:val="16"/>
        </w:rPr>
        <w:t>YoY Comparison (Jan-Aug, same period):</w:t>
        <w:br/>
        <w:t xml:space="preserve">                   revenue  orders</w:t>
        <w:br/>
        <w:t xml:space="preserve">purchase_year                     </w:t>
        <w:br/>
        <w:t>2017          2,993,456.13   21998</w:t>
        <w:br/>
        <w:t>2018          7,218,125.12   52783</w:t>
        <w:br/>
        <w:br/>
        <w:t>Revenue Growth (2017→2018, Jan-Aug): 141.1%</w:t>
        <w:br/>
        <w:t>Order Growth  (2017→2018, Jan-Aug): 139.9%</w:t>
      </w:r>
    </w:p>
    <w:p>
      <w:pPr>
        <w:pStyle w:val="Heading2"/>
      </w:pPr>
      <w:r>
        <w:rPr>
          <w:color w:val="00467F"/>
        </w:rPr>
        <w:t>8.3 30-Day Rolling Average Order Volume (Q8)</w:t>
      </w:r>
    </w:p>
    <w:p>
      <w:r>
        <w:rPr>
          <w:i/>
          <w:color w:val="3C64A0"/>
          <w:sz w:val="18"/>
        </w:rPr>
        <w:t>▶ Notebook Output: 30-day rolling average (cell 31)</w:t>
      </w:r>
    </w:p>
    <w:p>
      <w:pPr>
        <w:jc w:val="center"/>
      </w:pPr>
      <w:r>
        <w:drawing>
          <wp:inline xmlns:a="http://schemas.openxmlformats.org/drawingml/2006/main" xmlns:pic="http://schemas.openxmlformats.org/drawingml/2006/picture">
            <wp:extent cx="5669280" cy="1574117"/>
            <wp:docPr id="11" name="Picture 11"/>
            <wp:cNvGraphicFramePr>
              <a:graphicFrameLocks noChangeAspect="1"/>
            </wp:cNvGraphicFramePr>
            <a:graphic>
              <a:graphicData uri="http://schemas.openxmlformats.org/drawingml/2006/picture">
                <pic:pic>
                  <pic:nvPicPr>
                    <pic:cNvPr id="0" name="cell_031.png"/>
                    <pic:cNvPicPr/>
                  </pic:nvPicPr>
                  <pic:blipFill>
                    <a:blip r:embed="rId19"/>
                    <a:stretch>
                      <a:fillRect/>
                    </a:stretch>
                  </pic:blipFill>
                  <pic:spPr>
                    <a:xfrm>
                      <a:off x="0" y="0"/>
                      <a:ext cx="5669280" cy="1574117"/>
                    </a:xfrm>
                    <a:prstGeom prst="rect"/>
                  </pic:spPr>
                </pic:pic>
              </a:graphicData>
            </a:graphic>
          </wp:inline>
        </w:drawing>
      </w:r>
    </w:p>
    <w:p>
      <w:pPr>
        <w:jc w:val="center"/>
      </w:pPr>
      <w:r>
        <w:rPr>
          <w:i/>
          <w:color w:val="787878"/>
          <w:sz w:val="17"/>
        </w:rPr>
        <w:t>Fig 11: Daily orders (blue) with 30-day rolling average (red) showing consistent growth</w:t>
      </w:r>
    </w:p>
    <w:p>
      <w:pPr>
        <w:pStyle w:val="Heading2"/>
      </w:pPr>
      <w:r>
        <w:rPr>
          <w:color w:val="00467F"/>
        </w:rPr>
        <w:t>8.4 Quarterly Revenue Comparison (Q9)</w:t>
      </w:r>
    </w:p>
    <w:p>
      <w:r>
        <w:rPr>
          <w:i/>
          <w:color w:val="3C64A0"/>
          <w:sz w:val="18"/>
        </w:rPr>
        <w:t>▶ Notebook Output: Quarterly revenue chart (cell 32)</w:t>
      </w:r>
    </w:p>
    <w:p>
      <w:pPr>
        <w:jc w:val="center"/>
      </w:pPr>
      <w:r>
        <w:drawing>
          <wp:inline xmlns:a="http://schemas.openxmlformats.org/drawingml/2006/main" xmlns:pic="http://schemas.openxmlformats.org/drawingml/2006/picture">
            <wp:extent cx="5029200" cy="2473712"/>
            <wp:docPr id="12" name="Picture 12"/>
            <wp:cNvGraphicFramePr>
              <a:graphicFrameLocks noChangeAspect="1"/>
            </wp:cNvGraphicFramePr>
            <a:graphic>
              <a:graphicData uri="http://schemas.openxmlformats.org/drawingml/2006/picture">
                <pic:pic>
                  <pic:nvPicPr>
                    <pic:cNvPr id="0" name="cell_032.png"/>
                    <pic:cNvPicPr/>
                  </pic:nvPicPr>
                  <pic:blipFill>
                    <a:blip r:embed="rId20"/>
                    <a:stretch>
                      <a:fillRect/>
                    </a:stretch>
                  </pic:blipFill>
                  <pic:spPr>
                    <a:xfrm>
                      <a:off x="0" y="0"/>
                      <a:ext cx="5029200" cy="2473712"/>
                    </a:xfrm>
                    <a:prstGeom prst="rect"/>
                  </pic:spPr>
                </pic:pic>
              </a:graphicData>
            </a:graphic>
          </wp:inline>
        </w:drawing>
      </w:r>
    </w:p>
    <w:p>
      <w:pPr>
        <w:jc w:val="center"/>
      </w:pPr>
      <w:r>
        <w:rPr>
          <w:i/>
          <w:color w:val="787878"/>
          <w:sz w:val="17"/>
        </w:rPr>
        <w:t>Fig 12: Quarterly revenue comparison 2017 vs 2018</w:t>
      </w:r>
    </w:p>
    <w:p>
      <w:pPr>
        <w:pStyle w:val="Heading1"/>
      </w:pPr>
      <w:r>
        <w:rPr>
          <w:color w:val="00467F"/>
        </w:rPr>
        <w:t>9. Customer Analysis</w:t>
      </w:r>
    </w:p>
    <w:p>
      <w:pPr>
        <w:pStyle w:val="Heading2"/>
      </w:pPr>
      <w:r>
        <w:rPr>
          <w:color w:val="00467F"/>
        </w:rPr>
        <w:t>9.1 Purchase Frequency (Q10)</w:t>
      </w:r>
    </w:p>
    <w:p>
      <w:r>
        <w:rPr>
          <w:i/>
          <w:color w:val="3C64A0"/>
          <w:sz w:val="18"/>
        </w:rPr>
        <w:t>▶ Notebook Output: Customer order frequency output (cell 34)</w:t>
      </w:r>
    </w:p>
    <w:p>
      <w:pPr>
        <w:ind w:left="283"/>
        <w:shd w:val="clear" w:color="auto" w:fill="F0F4F8"/>
      </w:pPr>
      <w:r>
        <w:rPr>
          <w:rFonts w:ascii="Courier New" w:hAnsi="Courier New"/>
          <w:color w:val="141450"/>
          <w:sz w:val="16"/>
        </w:rPr>
        <w:t>Customer order frequency:</w:t>
        <w:br/>
        <w:t>order_count</w:t>
        <w:br/>
        <w:t>1     90557</w:t>
        <w:br/>
        <w:t>2      2573</w:t>
        <w:br/>
        <w:t>3       181</w:t>
        <w:br/>
        <w:t>4        28</w:t>
        <w:br/>
        <w:t>5         9</w:t>
        <w:br/>
        <w:t>6         5</w:t>
        <w:br/>
        <w:t>7         3</w:t>
        <w:br/>
        <w:t>9         1</w:t>
        <w:br/>
        <w:t>15        1</w:t>
        <w:br/>
        <w:t>Name: count, dtype: int64</w:t>
        <w:br/>
        <w:br/>
        <w:t>Avg orders per customer: 1.033</w:t>
        <w:br/>
        <w:t>Single-order customers: 90,557 (97.0%)</w:t>
        <w:br/>
        <w:t>Multi-order customers:  2,801 (3.0%)</w:t>
      </w:r>
    </w:p>
    <w:p>
      <w:pPr>
        <w:pStyle w:val="Heading2"/>
      </w:pPr>
      <w:r>
        <w:rPr>
          <w:color w:val="00467F"/>
        </w:rPr>
        <w:t>9.2 Customer Spend Distribution (Q11)</w:t>
      </w:r>
    </w:p>
    <w:p>
      <w:r>
        <w:rPr>
          <w:i/>
          <w:color w:val="3C64A0"/>
          <w:sz w:val="18"/>
        </w:rPr>
        <w:t>▶ Notebook Output: Top/bottom 10% spend output (cell 35)</w:t>
      </w:r>
    </w:p>
    <w:p>
      <w:pPr>
        <w:ind w:left="283"/>
        <w:shd w:val="clear" w:color="auto" w:fill="F0F4F8"/>
      </w:pPr>
      <w:r>
        <w:rPr>
          <w:rFonts w:ascii="Courier New" w:hAnsi="Courier New"/>
          <w:color w:val="141450"/>
          <w:sz w:val="16"/>
        </w:rPr>
        <w:t>Top 10% customers contribute: R$ 5,439,904.37 (41.1% of revenue)</w:t>
        <w:br/>
        <w:t>Bottom 10% customers contribute: R$ 174,389.66 (1.3% of revenue)</w:t>
      </w:r>
    </w:p>
    <w:p>
      <w:r>
        <w:rPr>
          <w:i/>
          <w:color w:val="3C64A0"/>
          <w:sz w:val="18"/>
        </w:rPr>
        <w:t>▶ Notebook Output: Customer spend distribution histogram (cell 35)</w:t>
      </w:r>
    </w:p>
    <w:p>
      <w:pPr>
        <w:jc w:val="center"/>
      </w:pPr>
      <w:r>
        <w:drawing>
          <wp:inline xmlns:a="http://schemas.openxmlformats.org/drawingml/2006/main" xmlns:pic="http://schemas.openxmlformats.org/drawingml/2006/picture">
            <wp:extent cx="5303520" cy="2064277"/>
            <wp:docPr id="13" name="Picture 13"/>
            <wp:cNvGraphicFramePr>
              <a:graphicFrameLocks noChangeAspect="1"/>
            </wp:cNvGraphicFramePr>
            <a:graphic>
              <a:graphicData uri="http://schemas.openxmlformats.org/drawingml/2006/picture">
                <pic:pic>
                  <pic:nvPicPr>
                    <pic:cNvPr id="0" name="cell_035.png"/>
                    <pic:cNvPicPr/>
                  </pic:nvPicPr>
                  <pic:blipFill>
                    <a:blip r:embed="rId21"/>
                    <a:stretch>
                      <a:fillRect/>
                    </a:stretch>
                  </pic:blipFill>
                  <pic:spPr>
                    <a:xfrm>
                      <a:off x="0" y="0"/>
                      <a:ext cx="5303520" cy="2064277"/>
                    </a:xfrm>
                    <a:prstGeom prst="rect"/>
                  </pic:spPr>
                </pic:pic>
              </a:graphicData>
            </a:graphic>
          </wp:inline>
        </w:drawing>
      </w:r>
    </w:p>
    <w:p>
      <w:pPr>
        <w:jc w:val="center"/>
      </w:pPr>
      <w:r>
        <w:rPr>
          <w:i/>
          <w:color w:val="787878"/>
          <w:sz w:val="17"/>
        </w:rPr>
        <w:t>Fig 13: Customer total spend distribution (capped at 98th percentile)</w:t>
      </w:r>
    </w:p>
    <w:p>
      <w:r>
        <w:br w:type="page"/>
      </w:r>
    </w:p>
    <w:p>
      <w:pPr>
        <w:pStyle w:val="Heading1"/>
      </w:pPr>
      <w:r>
        <w:rPr>
          <w:color w:val="00467F"/>
        </w:rPr>
        <w:t>10. Customer Segmentation – RFM Analysis</w:t>
      </w:r>
    </w:p>
    <w:p>
      <w:pPr>
        <w:jc w:val="left"/>
      </w:pPr>
      <w:r>
        <w:rPr>
          <w:b w:val="0"/>
          <w:i w:val="0"/>
          <w:sz w:val="21"/>
        </w:rPr>
        <w:t>RFM (Recency, Frequency, Monetary) analysis scores each customer 1–5 on each dimension using quintile cuts, then assigns segment labels by total RFM score.</w:t>
      </w:r>
    </w:p>
    <w:p>
      <w:r>
        <w:rPr>
          <w:i/>
          <w:color w:val="3C64A0"/>
          <w:sz w:val="18"/>
        </w:rPr>
        <w:t>▶ Notebook Output: RFM segment summary table (cell 37)</w:t>
      </w:r>
    </w:p>
    <w:p>
      <w:pPr>
        <w:ind w:left="283"/>
        <w:shd w:val="clear" w:color="auto" w:fill="F0F4F8"/>
      </w:pPr>
      <w:r>
        <w:rPr>
          <w:rFonts w:ascii="Courier New" w:hAnsi="Courier New"/>
          <w:color w:val="141450"/>
          <w:sz w:val="16"/>
        </w:rPr>
        <w:t>RFM Segment Summary:</w:t>
        <w:br/>
        <w:t xml:space="preserve">                     customers  avg_recency  avg_frequency  avg_monetary</w:t>
        <w:br/>
        <w:t xml:space="preserve">segment                                                                 </w:t>
        <w:br/>
        <w:t>At Risk                  11657       369.60           1.00         54.70</w:t>
        <w:br/>
        <w:t>Champions                 7894        93.40           1.20        298.50</w:t>
        <w:br/>
        <w:t>Lost                      3249       437.50           1.00         33.50</w:t>
        <w:br/>
        <w:t>Loyal Customers          31260       175.00           1.00        188.60</w:t>
        <w:br/>
        <w:t>New Customers              777       137.70           1.00         25.90</w:t>
        <w:br/>
        <w:t>Potential Loyalists      38521       264.00           1.00        109.10</w:t>
      </w:r>
    </w:p>
    <w:p>
      <w:r>
        <w:rPr>
          <w:i/>
          <w:color w:val="3C64A0"/>
          <w:sz w:val="18"/>
        </w:rPr>
        <w:t>▶ Notebook Output: RFM segment count and revenue charts (cell 37)</w:t>
      </w:r>
    </w:p>
    <w:p>
      <w:pPr>
        <w:jc w:val="center"/>
      </w:pPr>
      <w:r>
        <w:drawing>
          <wp:inline xmlns:a="http://schemas.openxmlformats.org/drawingml/2006/main" xmlns:pic="http://schemas.openxmlformats.org/drawingml/2006/picture">
            <wp:extent cx="5669280" cy="1997039"/>
            <wp:docPr id="14" name="Picture 14"/>
            <wp:cNvGraphicFramePr>
              <a:graphicFrameLocks noChangeAspect="1"/>
            </wp:cNvGraphicFramePr>
            <a:graphic>
              <a:graphicData uri="http://schemas.openxmlformats.org/drawingml/2006/picture">
                <pic:pic>
                  <pic:nvPicPr>
                    <pic:cNvPr id="0" name="cell_037.png"/>
                    <pic:cNvPicPr/>
                  </pic:nvPicPr>
                  <pic:blipFill>
                    <a:blip r:embed="rId22"/>
                    <a:stretch>
                      <a:fillRect/>
                    </a:stretch>
                  </pic:blipFill>
                  <pic:spPr>
                    <a:xfrm>
                      <a:off x="0" y="0"/>
                      <a:ext cx="5669280" cy="1997039"/>
                    </a:xfrm>
                    <a:prstGeom prst="rect"/>
                  </pic:spPr>
                </pic:pic>
              </a:graphicData>
            </a:graphic>
          </wp:inline>
        </w:drawing>
      </w:r>
    </w:p>
    <w:p>
      <w:pPr>
        <w:jc w:val="center"/>
      </w:pPr>
      <w:r>
        <w:rPr>
          <w:i/>
          <w:color w:val="787878"/>
          <w:sz w:val="17"/>
        </w:rPr>
        <w:t>Fig 14: RFM customer segments by count (left) and revenue (right)</w:t>
      </w:r>
    </w:p>
    <w:p>
      <w:pPr>
        <w:pStyle w:val="Heading1"/>
      </w:pPr>
      <w:r>
        <w:rPr>
          <w:color w:val="00467F"/>
        </w:rPr>
        <w:t>11. Geographic Analysis</w:t>
      </w:r>
    </w:p>
    <w:p>
      <w:pPr>
        <w:pStyle w:val="Heading2"/>
      </w:pPr>
      <w:r>
        <w:rPr>
          <w:color w:val="00467F"/>
        </w:rPr>
        <w:t>11.1 State Revenue &amp; Orders (Q12)</w:t>
      </w:r>
    </w:p>
    <w:p>
      <w:r>
        <w:rPr>
          <w:i/>
          <w:color w:val="3C64A0"/>
          <w:sz w:val="18"/>
        </w:rPr>
        <w:t>▶ Notebook Output: Top 10 states by revenue and orders (cell 39)</w:t>
      </w:r>
    </w:p>
    <w:p>
      <w:pPr>
        <w:jc w:val="center"/>
      </w:pPr>
      <w:r>
        <w:drawing>
          <wp:inline xmlns:a="http://schemas.openxmlformats.org/drawingml/2006/main" xmlns:pic="http://schemas.openxmlformats.org/drawingml/2006/picture">
            <wp:extent cx="5669280" cy="2392240"/>
            <wp:docPr id="15" name="Picture 15"/>
            <wp:cNvGraphicFramePr>
              <a:graphicFrameLocks noChangeAspect="1"/>
            </wp:cNvGraphicFramePr>
            <a:graphic>
              <a:graphicData uri="http://schemas.openxmlformats.org/drawingml/2006/picture">
                <pic:pic>
                  <pic:nvPicPr>
                    <pic:cNvPr id="0" name="cell_039.png"/>
                    <pic:cNvPicPr/>
                  </pic:nvPicPr>
                  <pic:blipFill>
                    <a:blip r:embed="rId23"/>
                    <a:stretch>
                      <a:fillRect/>
                    </a:stretch>
                  </pic:blipFill>
                  <pic:spPr>
                    <a:xfrm>
                      <a:off x="0" y="0"/>
                      <a:ext cx="5669280" cy="2392240"/>
                    </a:xfrm>
                    <a:prstGeom prst="rect"/>
                  </pic:spPr>
                </pic:pic>
              </a:graphicData>
            </a:graphic>
          </wp:inline>
        </w:drawing>
      </w:r>
    </w:p>
    <w:p>
      <w:pPr>
        <w:jc w:val="center"/>
      </w:pPr>
      <w:r>
        <w:rPr>
          <w:i/>
          <w:color w:val="787878"/>
          <w:sz w:val="17"/>
        </w:rPr>
        <w:t>Fig 15: Top 10 states by revenue (left) and order volume (right)</w:t>
      </w:r>
    </w:p>
    <w:p>
      <w:pPr>
        <w:pStyle w:val="Heading2"/>
      </w:pPr>
      <w:r>
        <w:rPr>
          <w:color w:val="00467F"/>
        </w:rPr>
        <w:t>11.2 Freight &amp; Delivery by State (Q13)</w:t>
      </w:r>
    </w:p>
    <w:p>
      <w:r>
        <w:rPr>
          <w:i/>
          <w:color w:val="3C64A0"/>
          <w:sz w:val="18"/>
        </w:rPr>
        <w:t>▶ Notebook Output: Freight and delivery time by state (cell 40)</w:t>
      </w:r>
    </w:p>
    <w:p>
      <w:pPr>
        <w:jc w:val="center"/>
      </w:pPr>
      <w:r>
        <w:drawing>
          <wp:inline xmlns:a="http://schemas.openxmlformats.org/drawingml/2006/main" xmlns:pic="http://schemas.openxmlformats.org/drawingml/2006/picture">
            <wp:extent cx="5669280" cy="2395702"/>
            <wp:docPr id="16" name="Picture 16"/>
            <wp:cNvGraphicFramePr>
              <a:graphicFrameLocks noChangeAspect="1"/>
            </wp:cNvGraphicFramePr>
            <a:graphic>
              <a:graphicData uri="http://schemas.openxmlformats.org/drawingml/2006/picture">
                <pic:pic>
                  <pic:nvPicPr>
                    <pic:cNvPr id="0" name="cell_040.png"/>
                    <pic:cNvPicPr/>
                  </pic:nvPicPr>
                  <pic:blipFill>
                    <a:blip r:embed="rId24"/>
                    <a:stretch>
                      <a:fillRect/>
                    </a:stretch>
                  </pic:blipFill>
                  <pic:spPr>
                    <a:xfrm>
                      <a:off x="0" y="0"/>
                      <a:ext cx="5669280" cy="2395702"/>
                    </a:xfrm>
                    <a:prstGeom prst="rect"/>
                  </pic:spPr>
                </pic:pic>
              </a:graphicData>
            </a:graphic>
          </wp:inline>
        </w:drawing>
      </w:r>
    </w:p>
    <w:p>
      <w:pPr>
        <w:jc w:val="center"/>
      </w:pPr>
      <w:r>
        <w:rPr>
          <w:i/>
          <w:color w:val="787878"/>
          <w:sz w:val="17"/>
        </w:rPr>
        <w:t>Fig 16: Average freight (left) and delivery days (right) by state</w:t>
      </w:r>
    </w:p>
    <w:p>
      <w:pPr>
        <w:pStyle w:val="Heading2"/>
      </w:pPr>
      <w:r>
        <w:rPr>
          <w:color w:val="00467F"/>
        </w:rPr>
        <w:t>11.3 Seller Distribution (Q14)</w:t>
      </w:r>
    </w:p>
    <w:p>
      <w:r>
        <w:rPr>
          <w:i/>
          <w:color w:val="3C64A0"/>
          <w:sz w:val="18"/>
        </w:rPr>
        <w:t>▶ Notebook Output: Seller count by state (cell 41)</w:t>
      </w:r>
    </w:p>
    <w:p>
      <w:pPr>
        <w:jc w:val="center"/>
      </w:pPr>
      <w:r>
        <w:drawing>
          <wp:inline xmlns:a="http://schemas.openxmlformats.org/drawingml/2006/main" xmlns:pic="http://schemas.openxmlformats.org/drawingml/2006/picture">
            <wp:extent cx="5029200" cy="1962615"/>
            <wp:docPr id="17" name="Picture 17"/>
            <wp:cNvGraphicFramePr>
              <a:graphicFrameLocks noChangeAspect="1"/>
            </wp:cNvGraphicFramePr>
            <a:graphic>
              <a:graphicData uri="http://schemas.openxmlformats.org/drawingml/2006/picture">
                <pic:pic>
                  <pic:nvPicPr>
                    <pic:cNvPr id="0" name="cell_041.png"/>
                    <pic:cNvPicPr/>
                  </pic:nvPicPr>
                  <pic:blipFill>
                    <a:blip r:embed="rId25"/>
                    <a:stretch>
                      <a:fillRect/>
                    </a:stretch>
                  </pic:blipFill>
                  <pic:spPr>
                    <a:xfrm>
                      <a:off x="0" y="0"/>
                      <a:ext cx="5029200" cy="1962615"/>
                    </a:xfrm>
                    <a:prstGeom prst="rect"/>
                  </pic:spPr>
                </pic:pic>
              </a:graphicData>
            </a:graphic>
          </wp:inline>
        </w:drawing>
      </w:r>
    </w:p>
    <w:p>
      <w:pPr>
        <w:jc w:val="center"/>
      </w:pPr>
      <w:r>
        <w:rPr>
          <w:i/>
          <w:color w:val="787878"/>
          <w:sz w:val="17"/>
        </w:rPr>
        <w:t>Fig 17: Top 10 states by active seller count</w:t>
      </w:r>
    </w:p>
    <w:p>
      <w:r>
        <w:br w:type="page"/>
      </w:r>
    </w:p>
    <w:p>
      <w:pPr>
        <w:pStyle w:val="Heading1"/>
      </w:pPr>
      <w:r>
        <w:rPr>
          <w:color w:val="00467F"/>
        </w:rPr>
        <w:t>12. Review &amp; Satisfaction Analysis</w:t>
      </w:r>
    </w:p>
    <w:p>
      <w:pPr>
        <w:pStyle w:val="Heading2"/>
      </w:pPr>
      <w:r>
        <w:rPr>
          <w:color w:val="00467F"/>
        </w:rPr>
        <w:t>12.1 Review Score Distribution (Q15)</w:t>
      </w:r>
    </w:p>
    <w:p>
      <w:r>
        <w:rPr>
          <w:i/>
          <w:color w:val="3C64A0"/>
          <w:sz w:val="18"/>
        </w:rPr>
        <w:t>▶ Notebook Output: Review score distribution (cell 43)</w:t>
      </w:r>
    </w:p>
    <w:p>
      <w:pPr>
        <w:jc w:val="center"/>
      </w:pPr>
      <w:r>
        <w:drawing>
          <wp:inline xmlns:a="http://schemas.openxmlformats.org/drawingml/2006/main" xmlns:pic="http://schemas.openxmlformats.org/drawingml/2006/picture">
            <wp:extent cx="5669280" cy="1857512"/>
            <wp:docPr id="18" name="Picture 18"/>
            <wp:cNvGraphicFramePr>
              <a:graphicFrameLocks noChangeAspect="1"/>
            </wp:cNvGraphicFramePr>
            <a:graphic>
              <a:graphicData uri="http://schemas.openxmlformats.org/drawingml/2006/picture">
                <pic:pic>
                  <pic:nvPicPr>
                    <pic:cNvPr id="0" name="cell_043.png"/>
                    <pic:cNvPicPr/>
                  </pic:nvPicPr>
                  <pic:blipFill>
                    <a:blip r:embed="rId26"/>
                    <a:stretch>
                      <a:fillRect/>
                    </a:stretch>
                  </pic:blipFill>
                  <pic:spPr>
                    <a:xfrm>
                      <a:off x="0" y="0"/>
                      <a:ext cx="5669280" cy="1857512"/>
                    </a:xfrm>
                    <a:prstGeom prst="rect"/>
                  </pic:spPr>
                </pic:pic>
              </a:graphicData>
            </a:graphic>
          </wp:inline>
        </w:drawing>
      </w:r>
    </w:p>
    <w:p>
      <w:pPr>
        <w:jc w:val="center"/>
      </w:pPr>
      <w:r>
        <w:rPr>
          <w:i/>
          <w:color w:val="787878"/>
          <w:sz w:val="17"/>
        </w:rPr>
        <w:t>Fig 18: Review score distribution (bar) and share (pie) — 57%+ are 5-star</w:t>
      </w:r>
    </w:p>
    <w:p>
      <w:pPr>
        <w:pStyle w:val="Heading2"/>
      </w:pPr>
      <w:r>
        <w:rPr>
          <w:color w:val="00467F"/>
        </w:rPr>
        <w:t>12.2 Delivery Delay vs Review Score (Q16)</w:t>
      </w:r>
    </w:p>
    <w:p>
      <w:r>
        <w:rPr>
          <w:i/>
          <w:color w:val="3C64A0"/>
          <w:sz w:val="18"/>
        </w:rPr>
        <w:t>▶ Notebook Output: Delivery delay impact on reviews (cell 44)</w:t>
      </w:r>
    </w:p>
    <w:p>
      <w:pPr>
        <w:jc w:val="center"/>
      </w:pPr>
      <w:r>
        <w:drawing>
          <wp:inline xmlns:a="http://schemas.openxmlformats.org/drawingml/2006/main" xmlns:pic="http://schemas.openxmlformats.org/drawingml/2006/picture">
            <wp:extent cx="5303520" cy="2069666"/>
            <wp:docPr id="19" name="Picture 19"/>
            <wp:cNvGraphicFramePr>
              <a:graphicFrameLocks noChangeAspect="1"/>
            </wp:cNvGraphicFramePr>
            <a:graphic>
              <a:graphicData uri="http://schemas.openxmlformats.org/drawingml/2006/picture">
                <pic:pic>
                  <pic:nvPicPr>
                    <pic:cNvPr id="0" name="cell_044.png"/>
                    <pic:cNvPicPr/>
                  </pic:nvPicPr>
                  <pic:blipFill>
                    <a:blip r:embed="rId27"/>
                    <a:stretch>
                      <a:fillRect/>
                    </a:stretch>
                  </pic:blipFill>
                  <pic:spPr>
                    <a:xfrm>
                      <a:off x="0" y="0"/>
                      <a:ext cx="5303520" cy="2069666"/>
                    </a:xfrm>
                    <a:prstGeom prst="rect"/>
                  </pic:spPr>
                </pic:pic>
              </a:graphicData>
            </a:graphic>
          </wp:inline>
        </w:drawing>
      </w:r>
    </w:p>
    <w:p>
      <w:pPr>
        <w:jc w:val="center"/>
      </w:pPr>
      <w:r>
        <w:rPr>
          <w:i/>
          <w:color w:val="787878"/>
          <w:sz w:val="17"/>
        </w:rPr>
        <w:t>Fig 19: Avg review score by delivery delay — severe delay avg 1.72 vs early avg 4.30</w:t>
      </w:r>
    </w:p>
    <w:p>
      <w:pPr>
        <w:pStyle w:val="Heading2"/>
      </w:pPr>
      <w:r>
        <w:rPr>
          <w:color w:val="00467F"/>
        </w:rPr>
        <w:t>12.3 Category-Level Review Scores (Q17)</w:t>
      </w:r>
    </w:p>
    <w:p>
      <w:r>
        <w:rPr>
          <w:i/>
          <w:color w:val="3C64A0"/>
          <w:sz w:val="18"/>
        </w:rPr>
        <w:t>▶ Notebook Output: Best and worst categories by review (cell 45)</w:t>
      </w:r>
    </w:p>
    <w:p>
      <w:pPr>
        <w:jc w:val="center"/>
      </w:pPr>
      <w:r>
        <w:drawing>
          <wp:inline xmlns:a="http://schemas.openxmlformats.org/drawingml/2006/main" xmlns:pic="http://schemas.openxmlformats.org/drawingml/2006/picture">
            <wp:extent cx="5669280" cy="2392240"/>
            <wp:docPr id="20" name="Picture 20"/>
            <wp:cNvGraphicFramePr>
              <a:graphicFrameLocks noChangeAspect="1"/>
            </wp:cNvGraphicFramePr>
            <a:graphic>
              <a:graphicData uri="http://schemas.openxmlformats.org/drawingml/2006/picture">
                <pic:pic>
                  <pic:nvPicPr>
                    <pic:cNvPr id="0" name="cell_045.png"/>
                    <pic:cNvPicPr/>
                  </pic:nvPicPr>
                  <pic:blipFill>
                    <a:blip r:embed="rId28"/>
                    <a:stretch>
                      <a:fillRect/>
                    </a:stretch>
                  </pic:blipFill>
                  <pic:spPr>
                    <a:xfrm>
                      <a:off x="0" y="0"/>
                      <a:ext cx="5669280" cy="2392240"/>
                    </a:xfrm>
                    <a:prstGeom prst="rect"/>
                  </pic:spPr>
                </pic:pic>
              </a:graphicData>
            </a:graphic>
          </wp:inline>
        </w:drawing>
      </w:r>
    </w:p>
    <w:p>
      <w:pPr>
        <w:jc w:val="center"/>
      </w:pPr>
      <w:r>
        <w:rPr>
          <w:i/>
          <w:color w:val="787878"/>
          <w:sz w:val="17"/>
        </w:rPr>
        <w:t>Fig 20: Bottom 10 (red, left) and top 10 (green, right) categories by avg review score</w:t>
      </w:r>
    </w:p>
    <w:p>
      <w:pPr>
        <w:pStyle w:val="Heading1"/>
      </w:pPr>
      <w:r>
        <w:rPr>
          <w:color w:val="00467F"/>
        </w:rPr>
        <w:t>13. Payment Analysis</w:t>
      </w:r>
    </w:p>
    <w:p>
      <w:pPr>
        <w:pStyle w:val="Heading2"/>
      </w:pPr>
      <w:r>
        <w:rPr>
          <w:color w:val="00467F"/>
        </w:rPr>
        <w:t>13.1 Payment Method Share (Q18)</w:t>
      </w:r>
    </w:p>
    <w:p>
      <w:r>
        <w:rPr>
          <w:i/>
          <w:color w:val="3C64A0"/>
          <w:sz w:val="18"/>
        </w:rPr>
        <w:t>▶ Notebook Output: Payment method charts (cell 47)</w:t>
      </w:r>
    </w:p>
    <w:p>
      <w:pPr>
        <w:jc w:val="center"/>
      </w:pPr>
      <w:r>
        <w:drawing>
          <wp:inline xmlns:a="http://schemas.openxmlformats.org/drawingml/2006/main" xmlns:pic="http://schemas.openxmlformats.org/drawingml/2006/picture">
            <wp:extent cx="5669280" cy="2339243"/>
            <wp:docPr id="21" name="Picture 21"/>
            <wp:cNvGraphicFramePr>
              <a:graphicFrameLocks noChangeAspect="1"/>
            </wp:cNvGraphicFramePr>
            <a:graphic>
              <a:graphicData uri="http://schemas.openxmlformats.org/drawingml/2006/picture">
                <pic:pic>
                  <pic:nvPicPr>
                    <pic:cNvPr id="0" name="cell_047.png"/>
                    <pic:cNvPicPr/>
                  </pic:nvPicPr>
                  <pic:blipFill>
                    <a:blip r:embed="rId29"/>
                    <a:stretch>
                      <a:fillRect/>
                    </a:stretch>
                  </pic:blipFill>
                  <pic:spPr>
                    <a:xfrm>
                      <a:off x="0" y="0"/>
                      <a:ext cx="5669280" cy="2339243"/>
                    </a:xfrm>
                    <a:prstGeom prst="rect"/>
                  </pic:spPr>
                </pic:pic>
              </a:graphicData>
            </a:graphic>
          </wp:inline>
        </w:drawing>
      </w:r>
    </w:p>
    <w:p>
      <w:pPr>
        <w:jc w:val="center"/>
      </w:pPr>
      <w:r>
        <w:rPr>
          <w:i/>
          <w:color w:val="787878"/>
          <w:sz w:val="17"/>
        </w:rPr>
        <w:t>Fig 21: Payment method share by count (pie, left) and value (bar, right)</w:t>
      </w:r>
    </w:p>
    <w:p>
      <w:pPr>
        <w:pStyle w:val="Heading2"/>
      </w:pPr>
      <w:r>
        <w:rPr>
          <w:color w:val="00467F"/>
        </w:rPr>
        <w:t>13.2 Credit Card Installments (Q19)</w:t>
      </w:r>
    </w:p>
    <w:p>
      <w:r>
        <w:rPr>
          <w:i/>
          <w:color w:val="3C64A0"/>
          <w:sz w:val="18"/>
        </w:rPr>
        <w:t>▶ Notebook Output: Installment distribution (cell 48)</w:t>
      </w:r>
    </w:p>
    <w:p>
      <w:pPr>
        <w:jc w:val="center"/>
      </w:pPr>
      <w:r>
        <w:drawing>
          <wp:inline xmlns:a="http://schemas.openxmlformats.org/drawingml/2006/main" xmlns:pic="http://schemas.openxmlformats.org/drawingml/2006/picture">
            <wp:extent cx="5303520" cy="1878738"/>
            <wp:docPr id="22" name="Picture 22"/>
            <wp:cNvGraphicFramePr>
              <a:graphicFrameLocks noChangeAspect="1"/>
            </wp:cNvGraphicFramePr>
            <a:graphic>
              <a:graphicData uri="http://schemas.openxmlformats.org/drawingml/2006/picture">
                <pic:pic>
                  <pic:nvPicPr>
                    <pic:cNvPr id="0" name="cell_048.png"/>
                    <pic:cNvPicPr/>
                  </pic:nvPicPr>
                  <pic:blipFill>
                    <a:blip r:embed="rId30"/>
                    <a:stretch>
                      <a:fillRect/>
                    </a:stretch>
                  </pic:blipFill>
                  <pic:spPr>
                    <a:xfrm>
                      <a:off x="0" y="0"/>
                      <a:ext cx="5303520" cy="1878738"/>
                    </a:xfrm>
                    <a:prstGeom prst="rect"/>
                  </pic:spPr>
                </pic:pic>
              </a:graphicData>
            </a:graphic>
          </wp:inline>
        </w:drawing>
      </w:r>
    </w:p>
    <w:p>
      <w:pPr>
        <w:jc w:val="center"/>
      </w:pPr>
      <w:r>
        <w:rPr>
          <w:i/>
          <w:color w:val="787878"/>
          <w:sz w:val="17"/>
        </w:rPr>
        <w:t>Fig 22: Credit card installment count distribution</w:t>
      </w:r>
    </w:p>
    <w:p>
      <w:pPr>
        <w:pStyle w:val="Heading2"/>
      </w:pPr>
      <w:r>
        <w:rPr>
          <w:color w:val="00467F"/>
        </w:rPr>
        <w:t>13.3 Installments vs Order Value (Q20)</w:t>
      </w:r>
    </w:p>
    <w:p>
      <w:r>
        <w:rPr>
          <w:i/>
          <w:color w:val="3C64A0"/>
          <w:sz w:val="18"/>
        </w:rPr>
        <w:t>▶ Notebook Output: Installments vs avg order value (cell 49)</w:t>
      </w:r>
    </w:p>
    <w:p>
      <w:pPr>
        <w:jc w:val="center"/>
      </w:pPr>
      <w:r>
        <w:drawing>
          <wp:inline xmlns:a="http://schemas.openxmlformats.org/drawingml/2006/main" xmlns:pic="http://schemas.openxmlformats.org/drawingml/2006/picture">
            <wp:extent cx="5029200" cy="1962615"/>
            <wp:docPr id="23" name="Picture 23"/>
            <wp:cNvGraphicFramePr>
              <a:graphicFrameLocks noChangeAspect="1"/>
            </wp:cNvGraphicFramePr>
            <a:graphic>
              <a:graphicData uri="http://schemas.openxmlformats.org/drawingml/2006/picture">
                <pic:pic>
                  <pic:nvPicPr>
                    <pic:cNvPr id="0" name="cell_049.png"/>
                    <pic:cNvPicPr/>
                  </pic:nvPicPr>
                  <pic:blipFill>
                    <a:blip r:embed="rId31"/>
                    <a:stretch>
                      <a:fillRect/>
                    </a:stretch>
                  </pic:blipFill>
                  <pic:spPr>
                    <a:xfrm>
                      <a:off x="0" y="0"/>
                      <a:ext cx="5029200" cy="1962615"/>
                    </a:xfrm>
                    <a:prstGeom prst="rect"/>
                  </pic:spPr>
                </pic:pic>
              </a:graphicData>
            </a:graphic>
          </wp:inline>
        </w:drawing>
      </w:r>
    </w:p>
    <w:p>
      <w:pPr>
        <w:jc w:val="center"/>
      </w:pPr>
      <w:r>
        <w:rPr>
          <w:i/>
          <w:color w:val="787878"/>
          <w:sz w:val="17"/>
        </w:rPr>
        <w:t>Fig 23: Avg order value rises with installment count — r≈0.5 correlation</w:t>
      </w:r>
    </w:p>
    <w:p>
      <w:r>
        <w:br w:type="page"/>
      </w:r>
    </w:p>
    <w:p>
      <w:pPr>
        <w:pStyle w:val="Heading1"/>
      </w:pPr>
      <w:r>
        <w:rPr>
          <w:color w:val="00467F"/>
        </w:rPr>
        <w:t>14. Customer Retention – Cohort Analysis</w:t>
      </w:r>
    </w:p>
    <w:p>
      <w:pPr>
        <w:jc w:val="left"/>
      </w:pPr>
      <w:r>
        <w:rPr>
          <w:b w:val="0"/>
          <w:i w:val="0"/>
          <w:sz w:val="21"/>
        </w:rPr>
        <w:t>Customers grouped by first-purchase month. Retention rates tracked over subsequent months. Confirms &lt;5% month-2 retention.</w:t>
      </w:r>
    </w:p>
    <w:p>
      <w:r>
        <w:rPr>
          <w:i/>
          <w:color w:val="3C64A0"/>
          <w:sz w:val="18"/>
        </w:rPr>
        <w:t>▶ Notebook Output: Retention cohort heatmap (cell 51)</w:t>
      </w:r>
    </w:p>
    <w:p>
      <w:pPr>
        <w:jc w:val="center"/>
      </w:pPr>
      <w:r>
        <w:drawing>
          <wp:inline xmlns:a="http://schemas.openxmlformats.org/drawingml/2006/main" xmlns:pic="http://schemas.openxmlformats.org/drawingml/2006/picture">
            <wp:extent cx="5669280" cy="2636035"/>
            <wp:docPr id="24" name="Picture 24"/>
            <wp:cNvGraphicFramePr>
              <a:graphicFrameLocks noChangeAspect="1"/>
            </wp:cNvGraphicFramePr>
            <a:graphic>
              <a:graphicData uri="http://schemas.openxmlformats.org/drawingml/2006/picture">
                <pic:pic>
                  <pic:nvPicPr>
                    <pic:cNvPr id="0" name="cell_051.png"/>
                    <pic:cNvPicPr/>
                  </pic:nvPicPr>
                  <pic:blipFill>
                    <a:blip r:embed="rId32"/>
                    <a:stretch>
                      <a:fillRect/>
                    </a:stretch>
                  </pic:blipFill>
                  <pic:spPr>
                    <a:xfrm>
                      <a:off x="0" y="0"/>
                      <a:ext cx="5669280" cy="2636035"/>
                    </a:xfrm>
                    <a:prstGeom prst="rect"/>
                  </pic:spPr>
                </pic:pic>
              </a:graphicData>
            </a:graphic>
          </wp:inline>
        </w:drawing>
      </w:r>
    </w:p>
    <w:p>
      <w:pPr>
        <w:jc w:val="center"/>
      </w:pPr>
      <w:r>
        <w:rPr>
          <w:i/>
          <w:color w:val="787878"/>
          <w:sz w:val="17"/>
        </w:rPr>
        <w:t>Fig 24: Monthly cohort retention heatmap — 2017 cohorts, % retained by month</w:t>
      </w:r>
    </w:p>
    <w:p>
      <w:pPr>
        <w:pStyle w:val="Heading1"/>
      </w:pPr>
      <w:r>
        <w:rPr>
          <w:color w:val="00467F"/>
        </w:rPr>
        <w:t>15. Seller Analysis</w:t>
      </w:r>
    </w:p>
    <w:p>
      <w:pPr>
        <w:pStyle w:val="Heading2"/>
      </w:pPr>
      <w:r>
        <w:rPr>
          <w:color w:val="00467F"/>
        </w:rPr>
        <w:t>15.1 Top Sellers by Revenue (Q21)</w:t>
      </w:r>
    </w:p>
    <w:p>
      <w:r>
        <w:rPr>
          <w:i/>
          <w:color w:val="3C64A0"/>
          <w:sz w:val="18"/>
        </w:rPr>
        <w:t>▶ Notebook Output: Top 10 sellers chart (cell 53)</w:t>
      </w:r>
    </w:p>
    <w:p>
      <w:pPr>
        <w:jc w:val="center"/>
      </w:pPr>
      <w:r>
        <w:drawing>
          <wp:inline xmlns:a="http://schemas.openxmlformats.org/drawingml/2006/main" xmlns:pic="http://schemas.openxmlformats.org/drawingml/2006/picture">
            <wp:extent cx="5303520" cy="2167993"/>
            <wp:docPr id="25" name="Picture 25"/>
            <wp:cNvGraphicFramePr>
              <a:graphicFrameLocks noChangeAspect="1"/>
            </wp:cNvGraphicFramePr>
            <a:graphic>
              <a:graphicData uri="http://schemas.openxmlformats.org/drawingml/2006/picture">
                <pic:pic>
                  <pic:nvPicPr>
                    <pic:cNvPr id="0" name="cell_053.png"/>
                    <pic:cNvPicPr/>
                  </pic:nvPicPr>
                  <pic:blipFill>
                    <a:blip r:embed="rId33"/>
                    <a:stretch>
                      <a:fillRect/>
                    </a:stretch>
                  </pic:blipFill>
                  <pic:spPr>
                    <a:xfrm>
                      <a:off x="0" y="0"/>
                      <a:ext cx="5303520" cy="2167993"/>
                    </a:xfrm>
                    <a:prstGeom prst="rect"/>
                  </pic:spPr>
                </pic:pic>
              </a:graphicData>
            </a:graphic>
          </wp:inline>
        </w:drawing>
      </w:r>
    </w:p>
    <w:p>
      <w:pPr>
        <w:jc w:val="center"/>
      </w:pPr>
      <w:r>
        <w:rPr>
          <w:i/>
          <w:color w:val="787878"/>
          <w:sz w:val="17"/>
        </w:rPr>
        <w:t>Fig 25: Top 10 sellers by revenue (BRL thousands)</w:t>
      </w:r>
    </w:p>
    <w:p>
      <w:pPr>
        <w:pStyle w:val="Heading2"/>
      </w:pPr>
      <w:r>
        <w:rPr>
          <w:color w:val="00467F"/>
        </w:rPr>
        <w:t>15.2 Seller Review Distribution (Q22)</w:t>
      </w:r>
    </w:p>
    <w:p>
      <w:r>
        <w:rPr>
          <w:i/>
          <w:color w:val="3C64A0"/>
          <w:sz w:val="18"/>
        </w:rPr>
        <w:t>▶ Notebook Output: Seller avg review score histogram (cell 54)</w:t>
      </w:r>
    </w:p>
    <w:p>
      <w:pPr>
        <w:jc w:val="center"/>
      </w:pPr>
      <w:r>
        <w:drawing>
          <wp:inline xmlns:a="http://schemas.openxmlformats.org/drawingml/2006/main" xmlns:pic="http://schemas.openxmlformats.org/drawingml/2006/picture">
            <wp:extent cx="5029200" cy="1962615"/>
            <wp:docPr id="26" name="Picture 26"/>
            <wp:cNvGraphicFramePr>
              <a:graphicFrameLocks noChangeAspect="1"/>
            </wp:cNvGraphicFramePr>
            <a:graphic>
              <a:graphicData uri="http://schemas.openxmlformats.org/drawingml/2006/picture">
                <pic:pic>
                  <pic:nvPicPr>
                    <pic:cNvPr id="0" name="cell_054.png"/>
                    <pic:cNvPicPr/>
                  </pic:nvPicPr>
                  <pic:blipFill>
                    <a:blip r:embed="rId34"/>
                    <a:stretch>
                      <a:fillRect/>
                    </a:stretch>
                  </pic:blipFill>
                  <pic:spPr>
                    <a:xfrm>
                      <a:off x="0" y="0"/>
                      <a:ext cx="5029200" cy="1962615"/>
                    </a:xfrm>
                    <a:prstGeom prst="rect"/>
                  </pic:spPr>
                </pic:pic>
              </a:graphicData>
            </a:graphic>
          </wp:inline>
        </w:drawing>
      </w:r>
    </w:p>
    <w:p>
      <w:pPr>
        <w:jc w:val="center"/>
      </w:pPr>
      <w:r>
        <w:rPr>
          <w:i/>
          <w:color w:val="787878"/>
          <w:sz w:val="17"/>
        </w:rPr>
        <w:t>Fig 26: Distribution of average review score per seller (min 20 reviews)</w:t>
      </w:r>
    </w:p>
    <w:p>
      <w:pPr>
        <w:pStyle w:val="Heading1"/>
      </w:pPr>
      <w:r>
        <w:rPr>
          <w:color w:val="00467F"/>
        </w:rPr>
        <w:t>16. Advanced Analysis</w:t>
      </w:r>
    </w:p>
    <w:p>
      <w:pPr>
        <w:pStyle w:val="Heading2"/>
      </w:pPr>
      <w:r>
        <w:rPr>
          <w:color w:val="00467F"/>
        </w:rPr>
        <w:t>16.1 Freight-to-Price Ratio by Category (Q23)</w:t>
      </w:r>
    </w:p>
    <w:p>
      <w:r>
        <w:rPr>
          <w:i/>
          <w:color w:val="3C64A0"/>
          <w:sz w:val="18"/>
        </w:rPr>
        <w:t>▶ Notebook Output: Freight ratio chart (cell 56)</w:t>
      </w:r>
    </w:p>
    <w:p>
      <w:pPr>
        <w:jc w:val="center"/>
      </w:pPr>
      <w:r>
        <w:drawing>
          <wp:inline xmlns:a="http://schemas.openxmlformats.org/drawingml/2006/main" xmlns:pic="http://schemas.openxmlformats.org/drawingml/2006/picture">
            <wp:extent cx="5303520" cy="2169826"/>
            <wp:docPr id="27" name="Picture 27"/>
            <wp:cNvGraphicFramePr>
              <a:graphicFrameLocks noChangeAspect="1"/>
            </wp:cNvGraphicFramePr>
            <a:graphic>
              <a:graphicData uri="http://schemas.openxmlformats.org/drawingml/2006/picture">
                <pic:pic>
                  <pic:nvPicPr>
                    <pic:cNvPr id="0" name="cell_056.png"/>
                    <pic:cNvPicPr/>
                  </pic:nvPicPr>
                  <pic:blipFill>
                    <a:blip r:embed="rId35"/>
                    <a:stretch>
                      <a:fillRect/>
                    </a:stretch>
                  </pic:blipFill>
                  <pic:spPr>
                    <a:xfrm>
                      <a:off x="0" y="0"/>
                      <a:ext cx="5303520" cy="2169826"/>
                    </a:xfrm>
                    <a:prstGeom prst="rect"/>
                  </pic:spPr>
                </pic:pic>
              </a:graphicData>
            </a:graphic>
          </wp:inline>
        </w:drawing>
      </w:r>
    </w:p>
    <w:p>
      <w:pPr>
        <w:jc w:val="center"/>
      </w:pPr>
      <w:r>
        <w:rPr>
          <w:i/>
          <w:color w:val="787878"/>
          <w:sz w:val="17"/>
        </w:rPr>
        <w:t>Fig 27: Top 15 categories by freight/price ratio</w:t>
      </w:r>
    </w:p>
    <w:p>
      <w:pPr>
        <w:pStyle w:val="Heading2"/>
      </w:pPr>
      <w:r>
        <w:rPr>
          <w:color w:val="00467F"/>
        </w:rPr>
        <w:t>16.2 Price vs Review Score (Q24)</w:t>
      </w:r>
    </w:p>
    <w:p>
      <w:r>
        <w:rPr>
          <w:i/>
          <w:color w:val="3C64A0"/>
          <w:sz w:val="18"/>
        </w:rPr>
        <w:t>▶ Notebook Output: Price quintile vs review (cell 57)</w:t>
      </w:r>
    </w:p>
    <w:p>
      <w:pPr>
        <w:jc w:val="center"/>
      </w:pPr>
      <w:r>
        <w:drawing>
          <wp:inline xmlns:a="http://schemas.openxmlformats.org/drawingml/2006/main" xmlns:pic="http://schemas.openxmlformats.org/drawingml/2006/picture">
            <wp:extent cx="4754880" cy="2065468"/>
            <wp:docPr id="28" name="Picture 28"/>
            <wp:cNvGraphicFramePr>
              <a:graphicFrameLocks noChangeAspect="1"/>
            </wp:cNvGraphicFramePr>
            <a:graphic>
              <a:graphicData uri="http://schemas.openxmlformats.org/drawingml/2006/picture">
                <pic:pic>
                  <pic:nvPicPr>
                    <pic:cNvPr id="0" name="cell_057.png"/>
                    <pic:cNvPicPr/>
                  </pic:nvPicPr>
                  <pic:blipFill>
                    <a:blip r:embed="rId36"/>
                    <a:stretch>
                      <a:fillRect/>
                    </a:stretch>
                  </pic:blipFill>
                  <pic:spPr>
                    <a:xfrm>
                      <a:off x="0" y="0"/>
                      <a:ext cx="4754880" cy="2065468"/>
                    </a:xfrm>
                    <a:prstGeom prst="rect"/>
                  </pic:spPr>
                </pic:pic>
              </a:graphicData>
            </a:graphic>
          </wp:inline>
        </w:drawing>
      </w:r>
    </w:p>
    <w:p>
      <w:pPr>
        <w:jc w:val="center"/>
      </w:pPr>
      <w:r>
        <w:rPr>
          <w:i/>
          <w:color w:val="787878"/>
          <w:sz w:val="17"/>
        </w:rPr>
        <w:t>Fig 28: Avg review score by price quintile — marginal positive relationship</w:t>
      </w:r>
    </w:p>
    <w:p>
      <w:pPr>
        <w:pStyle w:val="Heading2"/>
      </w:pPr>
      <w:r>
        <w:rPr>
          <w:color w:val="00467F"/>
        </w:rPr>
        <w:t>16.3 Cancellation Rate by State (Q25)</w:t>
      </w:r>
    </w:p>
    <w:p>
      <w:r>
        <w:rPr>
          <w:i/>
          <w:color w:val="3C64A0"/>
          <w:sz w:val="18"/>
        </w:rPr>
        <w:t>▶ Notebook Output: Cancellation rates (cell 58)</w:t>
      </w:r>
    </w:p>
    <w:p>
      <w:pPr>
        <w:jc w:val="center"/>
      </w:pPr>
      <w:r>
        <w:drawing>
          <wp:inline xmlns:a="http://schemas.openxmlformats.org/drawingml/2006/main" xmlns:pic="http://schemas.openxmlformats.org/drawingml/2006/picture">
            <wp:extent cx="5303520" cy="2167993"/>
            <wp:docPr id="29" name="Picture 29"/>
            <wp:cNvGraphicFramePr>
              <a:graphicFrameLocks noChangeAspect="1"/>
            </wp:cNvGraphicFramePr>
            <a:graphic>
              <a:graphicData uri="http://schemas.openxmlformats.org/drawingml/2006/picture">
                <pic:pic>
                  <pic:nvPicPr>
                    <pic:cNvPr id="0" name="cell_058.png"/>
                    <pic:cNvPicPr/>
                  </pic:nvPicPr>
                  <pic:blipFill>
                    <a:blip r:embed="rId37"/>
                    <a:stretch>
                      <a:fillRect/>
                    </a:stretch>
                  </pic:blipFill>
                  <pic:spPr>
                    <a:xfrm>
                      <a:off x="0" y="0"/>
                      <a:ext cx="5303520" cy="2167993"/>
                    </a:xfrm>
                    <a:prstGeom prst="rect"/>
                  </pic:spPr>
                </pic:pic>
              </a:graphicData>
            </a:graphic>
          </wp:inline>
        </w:drawing>
      </w:r>
    </w:p>
    <w:p>
      <w:pPr>
        <w:jc w:val="center"/>
      </w:pPr>
      <w:r>
        <w:rPr>
          <w:i/>
          <w:color w:val="787878"/>
          <w:sz w:val="17"/>
        </w:rPr>
        <w:t>Fig 29: Cancellation rate by state (min 100 orders)</w:t>
      </w:r>
    </w:p>
    <w:p>
      <w:pPr>
        <w:pStyle w:val="Heading2"/>
      </w:pPr>
      <w:r>
        <w:rPr>
          <w:color w:val="00467F"/>
        </w:rPr>
        <w:t>16.4 Product Weight &amp; Volume by Category (Q26)</w:t>
      </w:r>
    </w:p>
    <w:p>
      <w:r>
        <w:rPr>
          <w:i/>
          <w:color w:val="3C64A0"/>
          <w:sz w:val="18"/>
        </w:rPr>
        <w:t>▶ Notebook Output: Product dimensions (cell 59)</w:t>
      </w:r>
    </w:p>
    <w:p>
      <w:pPr>
        <w:jc w:val="center"/>
      </w:pPr>
      <w:r>
        <w:drawing>
          <wp:inline xmlns:a="http://schemas.openxmlformats.org/drawingml/2006/main" xmlns:pic="http://schemas.openxmlformats.org/drawingml/2006/picture">
            <wp:extent cx="5669280" cy="1981178"/>
            <wp:docPr id="30" name="Picture 30"/>
            <wp:cNvGraphicFramePr>
              <a:graphicFrameLocks noChangeAspect="1"/>
            </wp:cNvGraphicFramePr>
            <a:graphic>
              <a:graphicData uri="http://schemas.openxmlformats.org/drawingml/2006/picture">
                <pic:pic>
                  <pic:nvPicPr>
                    <pic:cNvPr id="0" name="cell_059.png"/>
                    <pic:cNvPicPr/>
                  </pic:nvPicPr>
                  <pic:blipFill>
                    <a:blip r:embed="rId38"/>
                    <a:stretch>
                      <a:fillRect/>
                    </a:stretch>
                  </pic:blipFill>
                  <pic:spPr>
                    <a:xfrm>
                      <a:off x="0" y="0"/>
                      <a:ext cx="5669280" cy="1981178"/>
                    </a:xfrm>
                    <a:prstGeom prst="rect"/>
                  </pic:spPr>
                </pic:pic>
              </a:graphicData>
            </a:graphic>
          </wp:inline>
        </w:drawing>
      </w:r>
    </w:p>
    <w:p>
      <w:pPr>
        <w:jc w:val="center"/>
      </w:pPr>
      <w:r>
        <w:rPr>
          <w:i/>
          <w:color w:val="787878"/>
          <w:sz w:val="17"/>
        </w:rPr>
        <w:t>Fig 30: Top 12 categories by avg weight (left) and volume (right)</w:t>
      </w:r>
    </w:p>
    <w:p>
      <w:pPr>
        <w:pStyle w:val="Heading2"/>
      </w:pPr>
      <w:r>
        <w:rPr>
          <w:color w:val="00467F"/>
        </w:rPr>
        <w:t>16.5 Late Delivery Rate by Category (Q27)</w:t>
      </w:r>
    </w:p>
    <w:p>
      <w:r>
        <w:rPr>
          <w:i/>
          <w:color w:val="3C64A0"/>
          <w:sz w:val="18"/>
        </w:rPr>
        <w:t>▶ Notebook Output: Late delivery rate (cell 60)</w:t>
      </w:r>
    </w:p>
    <w:p>
      <w:pPr>
        <w:jc w:val="center"/>
      </w:pPr>
      <w:r>
        <w:drawing>
          <wp:inline xmlns:a="http://schemas.openxmlformats.org/drawingml/2006/main" xmlns:pic="http://schemas.openxmlformats.org/drawingml/2006/picture">
            <wp:extent cx="5029200" cy="2055855"/>
            <wp:docPr id="31" name="Picture 31"/>
            <wp:cNvGraphicFramePr>
              <a:graphicFrameLocks noChangeAspect="1"/>
            </wp:cNvGraphicFramePr>
            <a:graphic>
              <a:graphicData uri="http://schemas.openxmlformats.org/drawingml/2006/picture">
                <pic:pic>
                  <pic:nvPicPr>
                    <pic:cNvPr id="0" name="cell_060.png"/>
                    <pic:cNvPicPr/>
                  </pic:nvPicPr>
                  <pic:blipFill>
                    <a:blip r:embed="rId39"/>
                    <a:stretch>
                      <a:fillRect/>
                    </a:stretch>
                  </pic:blipFill>
                  <pic:spPr>
                    <a:xfrm>
                      <a:off x="0" y="0"/>
                      <a:ext cx="5029200" cy="2055855"/>
                    </a:xfrm>
                    <a:prstGeom prst="rect"/>
                  </pic:spPr>
                </pic:pic>
              </a:graphicData>
            </a:graphic>
          </wp:inline>
        </w:drawing>
      </w:r>
    </w:p>
    <w:p>
      <w:pPr>
        <w:jc w:val="center"/>
      </w:pPr>
      <w:r>
        <w:rPr>
          <w:i/>
          <w:color w:val="787878"/>
          <w:sz w:val="17"/>
        </w:rPr>
        <w:t>Fig 31: Top 12 categories by late delivery rate</w:t>
      </w:r>
    </w:p>
    <w:p>
      <w:r>
        <w:br w:type="page"/>
      </w:r>
    </w:p>
    <w:p>
      <w:pPr>
        <w:pStyle w:val="Heading1"/>
      </w:pPr>
      <w:r>
        <w:rPr>
          <w:color w:val="00467F"/>
        </w:rPr>
        <w:t>17. SQL Analysis</w:t>
      </w:r>
    </w:p>
    <w:p>
      <w:pPr>
        <w:jc w:val="left"/>
      </w:pPr>
      <w:r>
        <w:rPr>
          <w:b w:val="0"/>
          <w:i w:val="0"/>
          <w:sz w:val="21"/>
        </w:rPr>
        <w:t>All SQL queries were executed against a local SQLite in-memory database built from the CSV files. Results below are actual query outputs from the notebook run.</w:t>
      </w:r>
    </w:p>
    <w:p>
      <w:pPr>
        <w:pStyle w:val="Heading2"/>
      </w:pPr>
      <w:r>
        <w:rPr>
          <w:color w:val="00467F"/>
        </w:rPr>
        <w:t>17.1 SQLite Database Setup</w:t>
      </w:r>
    </w:p>
    <w:p>
      <w:r>
        <w:rPr>
          <w:i/>
          <w:color w:val="3C64A0"/>
          <w:sz w:val="18"/>
        </w:rPr>
        <w:t>▶ Notebook Output: Database load confirmation (cell 64)</w:t>
      </w:r>
    </w:p>
    <w:p>
      <w:pPr>
        <w:ind w:left="283"/>
        <w:shd w:val="clear" w:color="auto" w:fill="F0F4F8"/>
      </w:pPr>
      <w:r>
        <w:rPr>
          <w:rFonts w:ascii="Courier New" w:hAnsi="Courier New"/>
          <w:color w:val="141450"/>
          <w:sz w:val="16"/>
        </w:rPr>
        <w:t>SQLite tables loaded: ['customers', 'geolocation', 'order_items', 'orders', 'payments', 'products', 'reviews', 'sellers']</w:t>
        <w:br/>
        <w:br/>
        <w:t>Row counts:</w:t>
        <w:br/>
        <w:t xml:space="preserve">  customers      :     99,441</w:t>
        <w:br/>
        <w:t xml:space="preserve">  geolocation    :     19,015</w:t>
        <w:br/>
        <w:t xml:space="preserve">  order_items    :    112,650</w:t>
        <w:br/>
        <w:t xml:space="preserve">  orders         :     99,441</w:t>
        <w:br/>
        <w:t xml:space="preserve">  payments       :    103,886</w:t>
        <w:br/>
        <w:t xml:space="preserve">  products       :     32,951</w:t>
        <w:br/>
        <w:t xml:space="preserve">  reviews        :     99,224</w:t>
        <w:br/>
        <w:t xml:space="preserve">  sellers        :      3,095</w:t>
      </w:r>
    </w:p>
    <w:p>
      <w:pPr>
        <w:pStyle w:val="Heading2"/>
      </w:pPr>
      <w:r>
        <w:rPr>
          <w:color w:val="00467F"/>
        </w:rPr>
        <w:t>17.2 SQL Q1 – Overall Business KPIs</w:t>
      </w:r>
    </w:p>
    <w:p>
      <w:pPr>
        <w:jc w:val="left"/>
      </w:pPr>
      <w:r>
        <w:rPr>
          <w:b w:val="0"/>
          <w:i w:val="0"/>
          <w:sz w:val="21"/>
        </w:rPr>
        <w:t>Multi-table JOIN: orders ⋈ customers ⋈ order_items | WHERE order_status = "delivered"</w:t>
      </w:r>
    </w:p>
    <w:p>
      <w:r>
        <w:rPr>
          <w:i/>
          <w:color w:val="3C64A0"/>
          <w:sz w:val="18"/>
        </w:rPr>
        <w:t>▶ Notebook Output: SQL Q1 output (cell 66)</w:t>
      </w:r>
    </w:p>
    <w:p>
      <w:pPr>
        <w:ind w:left="283"/>
        <w:shd w:val="clear" w:color="auto" w:fill="F0F4F8"/>
      </w:pPr>
      <w:r>
        <w:rPr>
          <w:rFonts w:ascii="Courier New" w:hAnsi="Courier New"/>
          <w:color w:val="141450"/>
          <w:sz w:val="16"/>
        </w:rPr>
        <w:t>SQL Q1: Overall Business KPIs</w:t>
        <w:br/>
        <w:t>-----------------------------</w:t>
        <w:br/>
        <w:t xml:space="preserve"> total_orders  unique_customers  total_product_revenue  total_freight_revenue     total_gmv  avg_order_value</w:t>
        <w:br/>
        <w:t xml:space="preserve">        96478             93358          13,221,498.11           2,198,275.64 15,419,773.75           139.93</w:t>
      </w:r>
    </w:p>
    <w:p>
      <w:pPr>
        <w:pStyle w:val="Heading2"/>
      </w:pPr>
      <w:r>
        <w:rPr>
          <w:color w:val="00467F"/>
        </w:rPr>
        <w:t>17.3 SQL Q2 – Top 10 Categories by Revenue</w:t>
      </w:r>
    </w:p>
    <w:p>
      <w:pPr>
        <w:jc w:val="left"/>
      </w:pPr>
      <w:r>
        <w:rPr>
          <w:b w:val="0"/>
          <w:i w:val="0"/>
          <w:sz w:val="21"/>
        </w:rPr>
        <w:t>LEFT JOIN order_items ⋈ orders ⋈ products ⋈ translation | GROUP BY category | ORDER BY revenue DESC</w:t>
      </w:r>
    </w:p>
    <w:p>
      <w:r>
        <w:rPr>
          <w:i/>
          <w:color w:val="3C64A0"/>
          <w:sz w:val="18"/>
        </w:rPr>
        <w:t>▶ Notebook Output: SQL Q2 output (cell 68)</w:t>
      </w:r>
    </w:p>
    <w:p>
      <w:pPr>
        <w:ind w:left="283"/>
        <w:shd w:val="clear" w:color="auto" w:fill="F0F4F8"/>
      </w:pPr>
      <w:r>
        <w:rPr>
          <w:rFonts w:ascii="Courier New" w:hAnsi="Courier New"/>
          <w:color w:val="141450"/>
          <w:sz w:val="16"/>
        </w:rPr>
        <w:t>SQL Q2: Top 10 Categories by Revenue</w:t>
        <w:br/>
        <w:t>------------------------------------</w:t>
        <w:br/>
        <w:t xml:space="preserve">             category  orders  items_sold      revenue  avg_item_price</w:t>
        <w:br/>
        <w:t xml:space="preserve">        health_beauty    8647        9465 1,233,131.72          130.28</w:t>
        <w:br/>
        <w:t xml:space="preserve">        watches_gifts    5495        5859 1,166,176.98          199.04</w:t>
        <w:br/>
        <w:t xml:space="preserve">       bed_bath_table    9272       10953 1,023,434.76           93.44</w:t>
        <w:br/>
        <w:t xml:space="preserve">       sports_leisure    7530        8431   954,852.55          113.25</w:t>
        <w:br/>
        <w:t>computers_accessories    6530        7644   888,724.61          116.26</w:t>
        <w:br/>
        <w:t xml:space="preserve">      furniture_decor    6307        8160   711,927.69           87.25</w:t>
        <w:br/>
        <w:t xml:space="preserve">           housewares    5743        6795   615,628.69           90.60</w:t>
        <w:br/>
        <w:t xml:space="preserve">           cool_stuff    3559        3718   610,204.10          164.12</w:t>
        <w:br/>
        <w:t xml:space="preserve">                 auto    3810        4140   578,966.65          139.85</w:t>
        <w:br/>
        <w:t xml:space="preserve">                 toys    3804        4030   471,286.48          116.94</w:t>
      </w:r>
    </w:p>
    <w:p>
      <w:pPr>
        <w:pStyle w:val="Heading2"/>
      </w:pPr>
      <w:r>
        <w:rPr>
          <w:color w:val="00467F"/>
        </w:rPr>
        <w:t>17.4 SQL Q3 – Monthly Revenue Trend</w:t>
      </w:r>
    </w:p>
    <w:p>
      <w:pPr>
        <w:jc w:val="left"/>
      </w:pPr>
      <w:r>
        <w:rPr>
          <w:b w:val="0"/>
          <w:i w:val="0"/>
          <w:sz w:val="21"/>
        </w:rPr>
        <w:t>SUBSTR(timestamp,1,7) for month extraction | HAVING orders &gt;= 5 | ORDER BY year_month</w:t>
      </w:r>
    </w:p>
    <w:p>
      <w:r>
        <w:rPr>
          <w:i/>
          <w:color w:val="3C64A0"/>
          <w:sz w:val="18"/>
        </w:rPr>
        <w:t>▶ Notebook Output: SQL Q3 output (cell 70)</w:t>
      </w:r>
    </w:p>
    <w:p>
      <w:pPr>
        <w:ind w:left="283"/>
        <w:shd w:val="clear" w:color="auto" w:fill="F0F4F8"/>
      </w:pPr>
      <w:r>
        <w:rPr>
          <w:rFonts w:ascii="Courier New" w:hAnsi="Courier New"/>
          <w:color w:val="141450"/>
          <w:sz w:val="16"/>
        </w:rPr>
        <w:t>SQL Q3: Monthly Revenue Trend</w:t>
        <w:br/>
        <w:t>-----------------------------</w:t>
        <w:br/>
        <w:t>year_month  orders  customers    revenue</w:t>
        <w:br/>
        <w:t xml:space="preserve">   2016-10     265        262  40,325.11</w:t>
        <w:br/>
        <w:t xml:space="preserve">   2017-01     750        718 111,798.36</w:t>
        <w:br/>
        <w:t xml:space="preserve">   2017-02    1653       1630 234,223.40</w:t>
        <w:br/>
        <w:t xml:space="preserve">   2017-03    2546       2508 359,198.85</w:t>
        <w:br/>
        <w:t xml:space="preserve">   2017-04    2303       2274 340,669.68</w:t>
        <w:br/>
        <w:t xml:space="preserve">   2017-05    3546       3479 489,338.25</w:t>
        <w:br/>
        <w:t xml:space="preserve">   2017-06    3135       3076 421,923.37</w:t>
        <w:br/>
        <w:t xml:space="preserve">   2017-07    3872       3802 481,604.52</w:t>
        <w:br/>
        <w:t xml:space="preserve">   2017-08    4193       4114 554,699.70</w:t>
        <w:br/>
        <w:t xml:space="preserve">   2017-09    4150       4083 607,399.67</w:t>
        <w:br/>
        <w:t xml:space="preserve">   2017-10    4478       4417 648,247.65</w:t>
        <w:br/>
        <w:t xml:space="preserve">   2017-11    7289       7183 987,765.37</w:t>
        <w:br/>
        <w:t xml:space="preserve">   2017-12    5513       5450 726,033.19</w:t>
        <w:br/>
        <w:t xml:space="preserve">   2018-01    7069       6974 924,645.00</w:t>
        <w:br/>
        <w:t xml:space="preserve">   2018-02    6555       6400 826,437.13</w:t>
        <w:br/>
        <w:t xml:space="preserve">   2018-03    7003       6914 953,356.25</w:t>
        <w:br/>
        <w:t xml:space="preserve">   2018-04    6798       6744 973,534.09</w:t>
        <w:br/>
        <w:t xml:space="preserve">   2018-05    6749       6693 977,544.69</w:t>
        <w:br/>
        <w:t xml:space="preserve">   2018-06    6099       6061 856,077.86</w:t>
        <w:br/>
        <w:t xml:space="preserve">   2018-07    6159       6100 867,953.46</w:t>
        <w:br/>
        <w:t xml:space="preserve">   2018-08    6351       6310 838,576.64</w:t>
      </w:r>
    </w:p>
    <w:p>
      <w:r>
        <w:rPr>
          <w:i/>
          <w:color w:val="3C64A0"/>
          <w:sz w:val="18"/>
        </w:rPr>
        <w:t>▶ Notebook Output: SQL Q3 monthly revenue chart (cell 70)</w:t>
      </w:r>
    </w:p>
    <w:p>
      <w:pPr>
        <w:jc w:val="center"/>
      </w:pPr>
      <w:r>
        <w:drawing>
          <wp:inline xmlns:a="http://schemas.openxmlformats.org/drawingml/2006/main" xmlns:pic="http://schemas.openxmlformats.org/drawingml/2006/picture">
            <wp:extent cx="5486400" cy="1518274"/>
            <wp:docPr id="32" name="Picture 32"/>
            <wp:cNvGraphicFramePr>
              <a:graphicFrameLocks noChangeAspect="1"/>
            </wp:cNvGraphicFramePr>
            <a:graphic>
              <a:graphicData uri="http://schemas.openxmlformats.org/drawingml/2006/picture">
                <pic:pic>
                  <pic:nvPicPr>
                    <pic:cNvPr id="0" name="cell_070.png"/>
                    <pic:cNvPicPr/>
                  </pic:nvPicPr>
                  <pic:blipFill>
                    <a:blip r:embed="rId40"/>
                    <a:stretch>
                      <a:fillRect/>
                    </a:stretch>
                  </pic:blipFill>
                  <pic:spPr>
                    <a:xfrm>
                      <a:off x="0" y="0"/>
                      <a:ext cx="5486400" cy="1518274"/>
                    </a:xfrm>
                    <a:prstGeom prst="rect"/>
                  </pic:spPr>
                </pic:pic>
              </a:graphicData>
            </a:graphic>
          </wp:inline>
        </w:drawing>
      </w:r>
    </w:p>
    <w:p>
      <w:pPr>
        <w:jc w:val="center"/>
      </w:pPr>
      <w:r>
        <w:rPr>
          <w:i/>
          <w:color w:val="787878"/>
          <w:sz w:val="17"/>
        </w:rPr>
        <w:t>Fig 32: SQL Q3 — monthly revenue bar chart from SQLite query result</w:t>
      </w:r>
    </w:p>
    <w:p>
      <w:pPr>
        <w:pStyle w:val="Heading2"/>
      </w:pPr>
      <w:r>
        <w:rPr>
          <w:color w:val="00467F"/>
        </w:rPr>
        <w:t>17.5 SQL Q4 – Top 10 States by Revenue</w:t>
      </w:r>
    </w:p>
    <w:p>
      <w:pPr>
        <w:jc w:val="left"/>
      </w:pPr>
      <w:r>
        <w:rPr>
          <w:b w:val="0"/>
          <w:i w:val="0"/>
          <w:sz w:val="21"/>
        </w:rPr>
        <w:t>GROUP BY customer_state | HAVING delivered only | ORDER BY product_revenue DESC | LIMIT 10</w:t>
      </w:r>
    </w:p>
    <w:p>
      <w:r>
        <w:rPr>
          <w:i/>
          <w:color w:val="3C64A0"/>
          <w:sz w:val="18"/>
        </w:rPr>
        <w:t>▶ Notebook Output: SQL Q4 output (cell 72)</w:t>
      </w:r>
    </w:p>
    <w:p>
      <w:pPr>
        <w:ind w:left="283"/>
        <w:shd w:val="clear" w:color="auto" w:fill="F0F4F8"/>
      </w:pPr>
      <w:r>
        <w:rPr>
          <w:rFonts w:ascii="Courier New" w:hAnsi="Courier New"/>
          <w:color w:val="141450"/>
          <w:sz w:val="16"/>
        </w:rPr>
        <w:t>SQL Q4: Top 10 States by Revenue</w:t>
        <w:br/>
        <w:t>--------------------------------</w:t>
        <w:br/>
        <w:t>state  total_orders  unique_customers  product_revenue  avg_freight</w:t>
        <w:br/>
        <w:t xml:space="preserve">   SP         40501             39156     5,067,633.16        15.12</w:t>
        <w:br/>
        <w:t xml:space="preserve">   RJ         12350             11917     1,759,651.13        20.91</w:t>
        <w:br/>
        <w:t xml:space="preserve">   MG         11354             11001     1,552,481.83        20.63</w:t>
        <w:br/>
        <w:t xml:space="preserve">   RS          5345              5168       728,897.47        21.61</w:t>
        <w:br/>
        <w:t xml:space="preserve">   PR          4923              4769       666,063.51        20.47</w:t>
        <w:br/>
        <w:t xml:space="preserve">   SC          3546              3449       507,012.13        21.51</w:t>
        <w:br/>
        <w:t xml:space="preserve">   BA          3256              3158       493,584.14        26.49</w:t>
        <w:br/>
        <w:t xml:space="preserve">   DF          2080              2019       296,498.41        21.07</w:t>
        <w:br/>
        <w:t xml:space="preserve">   GO          1957              1895       282,836.70        22.56</w:t>
        <w:br/>
        <w:t xml:space="preserve">   ES          1995              1928       268,643.45        22.03</w:t>
      </w:r>
    </w:p>
    <w:p>
      <w:r>
        <w:rPr>
          <w:i/>
          <w:color w:val="3C64A0"/>
          <w:sz w:val="18"/>
        </w:rPr>
        <w:t>▶ Notebook Output: SQL Q4 state revenue chart (cell 72)</w:t>
      </w:r>
    </w:p>
    <w:p>
      <w:pPr>
        <w:jc w:val="center"/>
      </w:pPr>
      <w:r>
        <w:drawing>
          <wp:inline xmlns:a="http://schemas.openxmlformats.org/drawingml/2006/main" xmlns:pic="http://schemas.openxmlformats.org/drawingml/2006/picture">
            <wp:extent cx="5029200" cy="2473712"/>
            <wp:docPr id="33" name="Picture 33"/>
            <wp:cNvGraphicFramePr>
              <a:graphicFrameLocks noChangeAspect="1"/>
            </wp:cNvGraphicFramePr>
            <a:graphic>
              <a:graphicData uri="http://schemas.openxmlformats.org/drawingml/2006/picture">
                <pic:pic>
                  <pic:nvPicPr>
                    <pic:cNvPr id="0" name="cell_072.png"/>
                    <pic:cNvPicPr/>
                  </pic:nvPicPr>
                  <pic:blipFill>
                    <a:blip r:embed="rId41"/>
                    <a:stretch>
                      <a:fillRect/>
                    </a:stretch>
                  </pic:blipFill>
                  <pic:spPr>
                    <a:xfrm>
                      <a:off x="0" y="0"/>
                      <a:ext cx="5029200" cy="2473712"/>
                    </a:xfrm>
                    <a:prstGeom prst="rect"/>
                  </pic:spPr>
                </pic:pic>
              </a:graphicData>
            </a:graphic>
          </wp:inline>
        </w:drawing>
      </w:r>
    </w:p>
    <w:p>
      <w:pPr>
        <w:jc w:val="center"/>
      </w:pPr>
      <w:r>
        <w:rPr>
          <w:i/>
          <w:color w:val="787878"/>
          <w:sz w:val="17"/>
        </w:rPr>
        <w:t>Fig 33: SQL Q4 — top 10 states by revenue</w:t>
      </w:r>
    </w:p>
    <w:p>
      <w:pPr>
        <w:pStyle w:val="Heading2"/>
      </w:pPr>
      <w:r>
        <w:rPr>
          <w:color w:val="00467F"/>
        </w:rPr>
        <w:t>17.6 SQL Q5 – Payment Method Breakdown</w:t>
      </w:r>
    </w:p>
    <w:p>
      <w:pPr>
        <w:jc w:val="left"/>
      </w:pPr>
      <w:r>
        <w:rPr>
          <w:b w:val="0"/>
          <w:i w:val="0"/>
          <w:sz w:val="21"/>
        </w:rPr>
        <w:t>JOIN payments ⋈ orders | WHERE delivered AND payment_type != "not_defined" | GROUP BY payment_type</w:t>
      </w:r>
    </w:p>
    <w:p>
      <w:r>
        <w:rPr>
          <w:i/>
          <w:color w:val="3C64A0"/>
          <w:sz w:val="18"/>
        </w:rPr>
        <w:t>▶ Notebook Output: SQL Q5 output (cell 74)</w:t>
      </w:r>
    </w:p>
    <w:p>
      <w:pPr>
        <w:ind w:left="283"/>
        <w:shd w:val="clear" w:color="auto" w:fill="F0F4F8"/>
      </w:pPr>
      <w:r>
        <w:rPr>
          <w:rFonts w:ascii="Courier New" w:hAnsi="Courier New"/>
          <w:color w:val="141450"/>
          <w:sz w:val="16"/>
        </w:rPr>
        <w:t>SQL Q5: Payment Method Breakdown</w:t>
        <w:br/>
        <w:t>--------------------------------</w:t>
        <w:br/>
        <w:t>payment_type  total_orders   total_value  avg_value  avg_installments</w:t>
        <w:br/>
        <w:t xml:space="preserve"> credit_card         74304 12,101,094.88     162.24              3.50</w:t>
        <w:br/>
        <w:t xml:space="preserve">      boleto         19191  2,769,932.58     144.33              1.00</w:t>
        <w:br/>
        <w:t xml:space="preserve">     voucher          3679    343,013.19      62.45              1.00</w:t>
        <w:br/>
        <w:t xml:space="preserve">  debit_card          1485    208,421.12     140.26              1.00</w:t>
      </w:r>
    </w:p>
    <w:p>
      <w:pPr>
        <w:pStyle w:val="Heading2"/>
      </w:pPr>
      <w:r>
        <w:rPr>
          <w:color w:val="00467F"/>
        </w:rPr>
        <w:t>17.7 SQL Q6 – Review Score by Delivery Delay</w:t>
      </w:r>
    </w:p>
    <w:p>
      <w:pPr>
        <w:jc w:val="left"/>
      </w:pPr>
      <w:r>
        <w:rPr>
          <w:b w:val="0"/>
          <w:i w:val="0"/>
          <w:sz w:val="21"/>
        </w:rPr>
        <w:t>CASE WHEN CAST(JULIANDAY(delivered) - JULIANDAY(estimated) AS INTEGER) — 5 delay buckets</w:t>
      </w:r>
    </w:p>
    <w:p>
      <w:r>
        <w:rPr>
          <w:i/>
          <w:color w:val="3C64A0"/>
          <w:sz w:val="18"/>
        </w:rPr>
        <w:t>▶ Notebook Output: SQL Q6 output (cell 76)</w:t>
      </w:r>
    </w:p>
    <w:p>
      <w:pPr>
        <w:ind w:left="283"/>
        <w:shd w:val="clear" w:color="auto" w:fill="F0F4F8"/>
      </w:pPr>
      <w:r>
        <w:rPr>
          <w:rFonts w:ascii="Courier New" w:hAnsi="Courier New"/>
          <w:color w:val="141450"/>
          <w:sz w:val="16"/>
        </w:rPr>
        <w:t>SQL Q6: Review Score by Delivery Delay</w:t>
        <w:br/>
        <w:t>--------------------------------------</w:t>
        <w:br/>
        <w:t xml:space="preserve">            delay_bucket  review_count  avg_review_score</w:t>
        <w:br/>
        <w:t xml:space="preserve"> Very Early (&gt;10d early)         52607              4.32</w:t>
        <w:br/>
        <w:t xml:space="preserve">     Early (1-10d early)         34589              4.25</w:t>
        <w:br/>
        <w:t xml:space="preserve">         Exactly On Time          2748              4.10</w:t>
        <w:br/>
        <w:t>Slight Delay (1-7d late)          3612              2.71</w:t>
        <w:br/>
        <w:t xml:space="preserve"> Severe Delay (&gt;7d late)          2797              1.70</w:t>
      </w:r>
    </w:p>
    <w:p>
      <w:r>
        <w:rPr>
          <w:i/>
          <w:color w:val="3C64A0"/>
          <w:sz w:val="18"/>
        </w:rPr>
        <w:t>▶ Notebook Output: SQL Q6 delay vs review chart (cell 76)</w:t>
      </w:r>
    </w:p>
    <w:p>
      <w:pPr>
        <w:jc w:val="center"/>
      </w:pPr>
      <w:r>
        <w:drawing>
          <wp:inline xmlns:a="http://schemas.openxmlformats.org/drawingml/2006/main" xmlns:pic="http://schemas.openxmlformats.org/drawingml/2006/picture">
            <wp:extent cx="5303520" cy="2087614"/>
            <wp:docPr id="34" name="Picture 34"/>
            <wp:cNvGraphicFramePr>
              <a:graphicFrameLocks noChangeAspect="1"/>
            </wp:cNvGraphicFramePr>
            <a:graphic>
              <a:graphicData uri="http://schemas.openxmlformats.org/drawingml/2006/picture">
                <pic:pic>
                  <pic:nvPicPr>
                    <pic:cNvPr id="0" name="cell_076.png"/>
                    <pic:cNvPicPr/>
                  </pic:nvPicPr>
                  <pic:blipFill>
                    <a:blip r:embed="rId42"/>
                    <a:stretch>
                      <a:fillRect/>
                    </a:stretch>
                  </pic:blipFill>
                  <pic:spPr>
                    <a:xfrm>
                      <a:off x="0" y="0"/>
                      <a:ext cx="5303520" cy="2087614"/>
                    </a:xfrm>
                    <a:prstGeom prst="rect"/>
                  </pic:spPr>
                </pic:pic>
              </a:graphicData>
            </a:graphic>
          </wp:inline>
        </w:drawing>
      </w:r>
    </w:p>
    <w:p>
      <w:pPr>
        <w:jc w:val="center"/>
      </w:pPr>
      <w:r>
        <w:rPr>
          <w:i/>
          <w:color w:val="787878"/>
          <w:sz w:val="17"/>
        </w:rPr>
        <w:t>Fig 34: SQL Q6 — avg review score drops sharply with delivery delay</w:t>
      </w:r>
    </w:p>
    <w:p>
      <w:pPr>
        <w:pStyle w:val="Heading2"/>
      </w:pPr>
      <w:r>
        <w:rPr>
          <w:color w:val="00467F"/>
        </w:rPr>
        <w:t>17.8 SQL Q7 – Top 10 Sellers by Revenue</w:t>
      </w:r>
    </w:p>
    <w:p>
      <w:pPr>
        <w:jc w:val="left"/>
      </w:pPr>
      <w:r>
        <w:rPr>
          <w:b w:val="0"/>
          <w:i w:val="0"/>
          <w:sz w:val="21"/>
        </w:rPr>
        <w:t>JOIN order_items ⋈ orders ⋈ sellers | GROUP BY seller_id | ORDER BY revenue DESC | LIMIT 10</w:t>
      </w:r>
    </w:p>
    <w:p>
      <w:r>
        <w:rPr>
          <w:i/>
          <w:color w:val="3C64A0"/>
          <w:sz w:val="18"/>
        </w:rPr>
        <w:t>▶ Notebook Output: SQL Q7 output (cell 78)</w:t>
      </w:r>
    </w:p>
    <w:p>
      <w:pPr>
        <w:ind w:left="283"/>
        <w:shd w:val="clear" w:color="auto" w:fill="F0F4F8"/>
      </w:pPr>
      <w:r>
        <w:rPr>
          <w:rFonts w:ascii="Courier New" w:hAnsi="Courier New"/>
          <w:color w:val="141450"/>
          <w:sz w:val="16"/>
        </w:rPr>
        <w:t>SQL Q7: Top 10 Sellers by Revenue</w:t>
        <w:br/>
        <w:t>---------------------------------</w:t>
        <w:br/>
        <w:t>seller_id_short seller_state  total_orders  items_sold    revenue  avg_item_price</w:t>
        <w:br/>
        <w:t xml:space="preserve">    4869f7a5...           SP          1124        1148 226,987.93          197.72</w:t>
        <w:br/>
        <w:t xml:space="preserve">    53243585...           BA           348         400 217,940.44          544.85</w:t>
        <w:br/>
        <w:t xml:space="preserve">    4a3ca931...           SP          1772        1949 196,882.12          101.02</w:t>
        <w:br/>
        <w:t xml:space="preserve">    fa1c13f2...           SP           578         579 190,917.14          329.74</w:t>
        <w:br/>
        <w:t xml:space="preserve">    7c67e144...           SP           973        1355 186,570.05          137.69</w:t>
        <w:br/>
        <w:t xml:space="preserve">    7e93a43e...           SP           319         322 165,981.49          515.47</w:t>
        <w:br/>
        <w:t xml:space="preserve">    da8622b1...           SP          1311        1548 159,816.87          103.24</w:t>
        <w:br/>
        <w:t xml:space="preserve">    7a67c85e...           SP          1145        1155 139,658.69          120.92</w:t>
        <w:br/>
        <w:t xml:space="preserve">    1025f0e2...           SP           910        1420 138,208.56           97.33</w:t>
        <w:br/>
        <w:t xml:space="preserve">    955fee92...           SP          1261        1472 131,836.71           89.56</w:t>
      </w:r>
    </w:p>
    <w:p>
      <w:pPr>
        <w:pStyle w:val="Heading2"/>
      </w:pPr>
      <w:r>
        <w:rPr>
          <w:color w:val="00467F"/>
        </w:rPr>
        <w:t>17.9 SQL Q8 – Customer Purchase Frequency</w:t>
      </w:r>
    </w:p>
    <w:p>
      <w:pPr>
        <w:jc w:val="left"/>
      </w:pPr>
      <w:r>
        <w:rPr>
          <w:b w:val="0"/>
          <w:i w:val="0"/>
          <w:sz w:val="21"/>
        </w:rPr>
        <w:t>Nested subquery: COUNT(DISTINCT order_id) per customer_unique_id, then GROUP BY order_count</w:t>
      </w:r>
    </w:p>
    <w:p>
      <w:r>
        <w:rPr>
          <w:i/>
          <w:color w:val="3C64A0"/>
          <w:sz w:val="18"/>
        </w:rPr>
        <w:t>▶ Notebook Output: SQL Q8 output (cell 80)</w:t>
      </w:r>
    </w:p>
    <w:p>
      <w:pPr>
        <w:ind w:left="283"/>
        <w:shd w:val="clear" w:color="auto" w:fill="F0F4F8"/>
      </w:pPr>
      <w:r>
        <w:rPr>
          <w:rFonts w:ascii="Courier New" w:hAnsi="Courier New"/>
          <w:color w:val="141450"/>
          <w:sz w:val="16"/>
        </w:rPr>
        <w:t>SQL Q8: Customer Purchase Frequency</w:t>
        <w:br/>
        <w:t>-----------------------------------</w:t>
        <w:br/>
        <w:t xml:space="preserve"> order_count  customer_count</w:t>
        <w:br/>
        <w:t xml:space="preserve">           1           90557</w:t>
        <w:br/>
        <w:t xml:space="preserve">           2            2573</w:t>
        <w:br/>
        <w:t xml:space="preserve">           3             181</w:t>
        <w:br/>
        <w:t xml:space="preserve">           4              28</w:t>
        <w:br/>
        <w:t xml:space="preserve">           5               9</w:t>
        <w:br/>
        <w:t xml:space="preserve">           6               5</w:t>
        <w:br/>
        <w:t xml:space="preserve">           7               3</w:t>
        <w:br/>
        <w:t xml:space="preserve">           9               1</w:t>
        <w:br/>
        <w:t xml:space="preserve">          15               1</w:t>
        <w:br/>
        <w:br/>
        <w:t>Single-purchase customers: 90,557 (97.00%)</w:t>
      </w:r>
    </w:p>
    <w:p>
      <w:pPr>
        <w:pStyle w:val="Heading2"/>
      </w:pPr>
      <w:r>
        <w:rPr>
          <w:color w:val="00467F"/>
        </w:rPr>
        <w:t>17.10 SQL Q9 – Quarterly Revenue 2017 vs 2018</w:t>
      </w:r>
    </w:p>
    <w:p>
      <w:pPr>
        <w:jc w:val="left"/>
      </w:pPr>
      <w:r>
        <w:rPr>
          <w:b w:val="0"/>
          <w:i w:val="0"/>
          <w:sz w:val="21"/>
        </w:rPr>
        <w:t>CASE WHEN CAST(SUBSTR(timestamp,6,2) ...) — quarter classification | GROUP BY year, quarter</w:t>
      </w:r>
    </w:p>
    <w:p>
      <w:r>
        <w:rPr>
          <w:i/>
          <w:color w:val="3C64A0"/>
          <w:sz w:val="18"/>
        </w:rPr>
        <w:t>▶ Notebook Output: SQL Q9 output (cell 82)</w:t>
      </w:r>
    </w:p>
    <w:p>
      <w:pPr>
        <w:ind w:left="283"/>
        <w:shd w:val="clear" w:color="auto" w:fill="F0F4F8"/>
      </w:pPr>
      <w:r>
        <w:rPr>
          <w:rFonts w:ascii="Courier New" w:hAnsi="Courier New"/>
          <w:color w:val="141450"/>
          <w:sz w:val="16"/>
        </w:rPr>
        <w:t>SQL Q9: Quarterly Revenue by Year</w:t>
        <w:br/>
        <w:t>---------------------------------</w:t>
        <w:br/>
        <w:t>year quarter  orders      revenue</w:t>
        <w:br/>
        <w:t>2017      Q1    4949   705,220.61</w:t>
        <w:br/>
        <w:t>2017      Q2    8984 1,251,931.30</w:t>
        <w:br/>
        <w:t>2017      Q3   12215 1,643,703.89</w:t>
        <w:br/>
        <w:t>2017      Q4   17280 2,362,046.21</w:t>
        <w:br/>
        <w:t>2018      Q1   20627 2,704,438.38</w:t>
        <w:br/>
        <w:t>2018      Q2   19646 2,807,156.64</w:t>
        <w:br/>
        <w:t>2018      Q3   12510 1,706,530.10</w:t>
      </w:r>
    </w:p>
    <w:p>
      <w:r>
        <w:rPr>
          <w:i/>
          <w:color w:val="3C64A0"/>
          <w:sz w:val="18"/>
        </w:rPr>
        <w:t>▶ Notebook Output: SQL Q9 quarterly chart (cell 82)</w:t>
      </w:r>
    </w:p>
    <w:p>
      <w:pPr>
        <w:jc w:val="center"/>
      </w:pPr>
      <w:r>
        <w:drawing>
          <wp:inline xmlns:a="http://schemas.openxmlformats.org/drawingml/2006/main" xmlns:pic="http://schemas.openxmlformats.org/drawingml/2006/picture">
            <wp:extent cx="4754880" cy="2603351"/>
            <wp:docPr id="35" name="Picture 35"/>
            <wp:cNvGraphicFramePr>
              <a:graphicFrameLocks noChangeAspect="1"/>
            </wp:cNvGraphicFramePr>
            <a:graphic>
              <a:graphicData uri="http://schemas.openxmlformats.org/drawingml/2006/picture">
                <pic:pic>
                  <pic:nvPicPr>
                    <pic:cNvPr id="0" name="cell_082.png"/>
                    <pic:cNvPicPr/>
                  </pic:nvPicPr>
                  <pic:blipFill>
                    <a:blip r:embed="rId43"/>
                    <a:stretch>
                      <a:fillRect/>
                    </a:stretch>
                  </pic:blipFill>
                  <pic:spPr>
                    <a:xfrm>
                      <a:off x="0" y="0"/>
                      <a:ext cx="4754880" cy="2603351"/>
                    </a:xfrm>
                    <a:prstGeom prst="rect"/>
                  </pic:spPr>
                </pic:pic>
              </a:graphicData>
            </a:graphic>
          </wp:inline>
        </w:drawing>
      </w:r>
    </w:p>
    <w:p>
      <w:pPr>
        <w:jc w:val="center"/>
      </w:pPr>
      <w:r>
        <w:rPr>
          <w:i/>
          <w:color w:val="787878"/>
          <w:sz w:val="17"/>
        </w:rPr>
        <w:t>Fig 35: SQL Q9 — quarterly revenue 2017 vs 2018</w:t>
      </w:r>
    </w:p>
    <w:p>
      <w:pPr>
        <w:pStyle w:val="Heading2"/>
      </w:pPr>
      <w:r>
        <w:rPr>
          <w:color w:val="00467F"/>
        </w:rPr>
        <w:t>17.11 SQL Q10 – Delivery Performance by State</w:t>
      </w:r>
    </w:p>
    <w:p>
      <w:pPr>
        <w:jc w:val="left"/>
      </w:pPr>
      <w:r>
        <w:rPr>
          <w:b w:val="0"/>
          <w:i w:val="0"/>
          <w:sz w:val="21"/>
        </w:rPr>
        <w:t>AVG(JULIANDAY(delivered) - JULIANDAY(purchased)) | CASE WHEN late | HAVING &gt;= 100 orders</w:t>
      </w:r>
    </w:p>
    <w:p>
      <w:r>
        <w:rPr>
          <w:i/>
          <w:color w:val="3C64A0"/>
          <w:sz w:val="18"/>
        </w:rPr>
        <w:t>▶ Notebook Output: SQL Q10 output (cell 84)</w:t>
      </w:r>
    </w:p>
    <w:p>
      <w:pPr>
        <w:ind w:left="283"/>
        <w:shd w:val="clear" w:color="auto" w:fill="F0F4F8"/>
      </w:pPr>
      <w:r>
        <w:rPr>
          <w:rFonts w:ascii="Courier New" w:hAnsi="Courier New"/>
          <w:color w:val="141450"/>
          <w:sz w:val="16"/>
        </w:rPr>
        <w:t>SQL Q10: Delivery Performance by State (top 15 slowest)</w:t>
        <w:br/>
        <w:t>-------------------------------------------------------</w:t>
        <w:br/>
        <w:t>state  total_orders  avg_delivery_days  avg_estimated_days  late_pct</w:t>
        <w:br/>
        <w:t xml:space="preserve">   AM           145              26.40               45.30      4.14</w:t>
        <w:br/>
        <w:t xml:space="preserve">   AL           397              24.50               32.60     23.93</w:t>
        <w:br/>
        <w:t xml:space="preserve">   PA           946              23.80               37.20     12.37</w:t>
        <w:br/>
        <w:t xml:space="preserve">   MA           717              21.60               30.50     19.67</w:t>
        <w:br/>
        <w:t xml:space="preserve">   SE           335              21.50               30.80     15.22</w:t>
        <w:br/>
        <w:t xml:space="preserve">   CE          1279              21.30               31.40     15.32</w:t>
        <w:br/>
        <w:t xml:space="preserve">   PB           517              20.40               33.00     11.03</w:t>
        <w:br/>
        <w:t xml:space="preserve">   PI           476              19.50               30.10     15.97</w:t>
        <w:br/>
        <w:t xml:space="preserve">   RO           243              19.40               38.80      2.88</w:t>
        <w:br/>
        <w:t xml:space="preserve">   RN           474              19.30               32.20     10.76</w:t>
        <w:br/>
        <w:t xml:space="preserve">   BA          3256              19.30               29.40     14.04</w:t>
        <w:br/>
        <w:t xml:space="preserve">   PE          1593              18.40               31.10     10.80</w:t>
        <w:br/>
        <w:t xml:space="preserve">   MT           886              18.10               31.70      6.77</w:t>
        <w:br/>
        <w:t xml:space="preserve">   TO           274              17.70               29.10     12.77</w:t>
        <w:br/>
        <w:t xml:space="preserve">   ES          1995              15.80               25.60     12.23</w:t>
      </w:r>
    </w:p>
    <w:p>
      <w:r>
        <w:rPr>
          <w:i/>
          <w:color w:val="3C64A0"/>
          <w:sz w:val="18"/>
        </w:rPr>
        <w:t>▶ Notebook Output: SQL Q10 delivery chart (cell 84)</w:t>
      </w:r>
    </w:p>
    <w:p>
      <w:pPr>
        <w:jc w:val="center"/>
      </w:pPr>
      <w:r>
        <w:drawing>
          <wp:inline xmlns:a="http://schemas.openxmlformats.org/drawingml/2006/main" xmlns:pic="http://schemas.openxmlformats.org/drawingml/2006/picture">
            <wp:extent cx="5303520" cy="2167993"/>
            <wp:docPr id="36" name="Picture 36"/>
            <wp:cNvGraphicFramePr>
              <a:graphicFrameLocks noChangeAspect="1"/>
            </wp:cNvGraphicFramePr>
            <a:graphic>
              <a:graphicData uri="http://schemas.openxmlformats.org/drawingml/2006/picture">
                <pic:pic>
                  <pic:nvPicPr>
                    <pic:cNvPr id="0" name="cell_084.png"/>
                    <pic:cNvPicPr/>
                  </pic:nvPicPr>
                  <pic:blipFill>
                    <a:blip r:embed="rId44"/>
                    <a:stretch>
                      <a:fillRect/>
                    </a:stretch>
                  </pic:blipFill>
                  <pic:spPr>
                    <a:xfrm>
                      <a:off x="0" y="0"/>
                      <a:ext cx="5303520" cy="2167993"/>
                    </a:xfrm>
                    <a:prstGeom prst="rect"/>
                  </pic:spPr>
                </pic:pic>
              </a:graphicData>
            </a:graphic>
          </wp:inline>
        </w:drawing>
      </w:r>
    </w:p>
    <w:p>
      <w:pPr>
        <w:jc w:val="center"/>
      </w:pPr>
      <w:r>
        <w:rPr>
          <w:i/>
          <w:color w:val="787878"/>
          <w:sz w:val="17"/>
        </w:rPr>
        <w:t>Fig 36: SQL Q10 — avg delivery days and late % by state (top 15 slowest)</w:t>
      </w:r>
    </w:p>
    <w:p>
      <w:pPr>
        <w:pStyle w:val="Heading2"/>
      </w:pPr>
      <w:r>
        <w:rPr>
          <w:color w:val="00467F"/>
        </w:rPr>
        <w:t>17.12 SQL Q11 – Review Scores by Category</w:t>
      </w:r>
    </w:p>
    <w:p>
      <w:pPr>
        <w:jc w:val="left"/>
      </w:pPr>
      <w:r>
        <w:rPr>
          <w:b w:val="0"/>
          <w:i w:val="0"/>
          <w:sz w:val="21"/>
        </w:rPr>
        <w:t>4-table JOIN | HAVING review_count &gt;= 200 | ORDER BY avg_score DESC | LIMIT 10</w:t>
      </w:r>
    </w:p>
    <w:p>
      <w:r>
        <w:rPr>
          <w:i/>
          <w:color w:val="3C64A0"/>
          <w:sz w:val="18"/>
        </w:rPr>
        <w:t>▶ Notebook Output: SQL Q11 output (cell 86)</w:t>
      </w:r>
    </w:p>
    <w:p>
      <w:pPr>
        <w:ind w:left="283"/>
        <w:shd w:val="clear" w:color="auto" w:fill="F0F4F8"/>
      </w:pPr>
      <w:r>
        <w:rPr>
          <w:rFonts w:ascii="Courier New" w:hAnsi="Courier New"/>
          <w:color w:val="141450"/>
          <w:sz w:val="16"/>
        </w:rPr>
        <w:t>SQL Q11: Top 10 Categories by Review Score (min 200 reviews)</w:t>
        <w:br/>
        <w:t>------------------------------------------------------------</w:t>
        <w:br/>
        <w:t xml:space="preserve">              category  review_count  avg_score  five_star  one_star</w:t>
        <w:br/>
        <w:t>books_general_interest           533       4.51        394        29</w:t>
        <w:br/>
        <w:t xml:space="preserve">       books_technical           264       4.39        188        20</w:t>
        <w:br/>
        <w:t xml:space="preserve">            food_drink           271       4.37        178        13</w:t>
        <w:br/>
        <w:t xml:space="preserve">   luggage_accessories          1073       4.35        704        69</w:t>
        <w:br/>
        <w:t xml:space="preserve">         fashion_shoes           256       4.29        166        19</w:t>
        <w:br/>
        <w:t xml:space="preserve">                  food           487       4.26        312        44</w:t>
        <w:br/>
        <w:t xml:space="preserve">            stationery          2459       4.24       1539       210</w:t>
        <w:br/>
        <w:t xml:space="preserve">       home_appliances           789       4.23        479        69</w:t>
        <w:br/>
        <w:t xml:space="preserve">      small_appliances           657       4.22        407        61</w:t>
        <w:br/>
        <w:t xml:space="preserve">   musical_instruments           646       4.22        397        56</w:t>
      </w:r>
    </w:p>
    <w:p>
      <w:pPr>
        <w:pStyle w:val="Heading2"/>
      </w:pPr>
      <w:r>
        <w:rPr>
          <w:color w:val="00467F"/>
        </w:rPr>
        <w:t>17.13 SQL Q12 – Cumulative Revenue (Self-Join)</w:t>
      </w:r>
    </w:p>
    <w:p>
      <w:pPr>
        <w:jc w:val="left"/>
      </w:pPr>
      <w:r>
        <w:rPr>
          <w:b w:val="0"/>
          <w:i w:val="0"/>
          <w:sz w:val="21"/>
        </w:rPr>
        <w:t>Self-join on year_month &lt;= current to compute running total without window function dependency</w:t>
      </w:r>
    </w:p>
    <w:p>
      <w:r>
        <w:rPr>
          <w:i/>
          <w:color w:val="3C64A0"/>
          <w:sz w:val="18"/>
        </w:rPr>
        <w:t>▶ Notebook Output: SQL Q12 output (cell 88)</w:t>
      </w:r>
    </w:p>
    <w:p>
      <w:pPr>
        <w:ind w:left="283"/>
        <w:shd w:val="clear" w:color="auto" w:fill="F0F4F8"/>
      </w:pPr>
      <w:r>
        <w:rPr>
          <w:rFonts w:ascii="Courier New" w:hAnsi="Courier New"/>
          <w:color w:val="141450"/>
          <w:sz w:val="16"/>
        </w:rPr>
        <w:t>SQL Q12: Monthly Revenue + Cumulative Revenue</w:t>
        <w:br/>
        <w:t>---------------------------------------------</w:t>
        <w:br/>
        <w:t>year_month  monthly_revenue  cumulative_revenue</w:t>
        <w:br/>
        <w:t xml:space="preserve">   2016-10        40,325.11           40,325.11</w:t>
        <w:br/>
        <w:t xml:space="preserve">   2017-01       111,798.36          152,123.47</w:t>
        <w:br/>
        <w:t xml:space="preserve">   2017-02       234,223.40          386,346.87</w:t>
        <w:br/>
        <w:t xml:space="preserve">   2017-03       359,198.85          745,545.72</w:t>
        <w:br/>
        <w:t xml:space="preserve">   2017-04       340,669.68        1,086,215.40</w:t>
        <w:br/>
        <w:t xml:space="preserve">   2017-05       489,338.25        1,575,553.65</w:t>
        <w:br/>
        <w:t xml:space="preserve">   2017-06       421,923.37        1,997,477.02</w:t>
        <w:br/>
        <w:t xml:space="preserve">   2017-07       481,604.52        2,479,081.54</w:t>
        <w:br/>
        <w:t xml:space="preserve">   2017-08       554,699.70        3,033,781.24</w:t>
        <w:br/>
        <w:t xml:space="preserve">   2017-09       607,399.67        3,641,180.91</w:t>
        <w:br/>
        <w:t xml:space="preserve">   2017-10       648,247.65        4,289,428.56</w:t>
        <w:br/>
        <w:t xml:space="preserve">   2017-11       987,765.37        5,277,193.93</w:t>
        <w:br/>
        <w:t xml:space="preserve">   2017-12       726,033.19        6,003,227.12</w:t>
        <w:br/>
        <w:t xml:space="preserve">   2018-01       924,645.00        6,927,872.12</w:t>
        <w:br/>
        <w:t xml:space="preserve">   2018-02       826,437.13        7,754,309.25</w:t>
        <w:br/>
        <w:t xml:space="preserve">   2018-03       953,356.25        8,707,665.50</w:t>
        <w:br/>
        <w:t xml:space="preserve">   2018-04       973,534.09        9,681,199.59</w:t>
        <w:br/>
        <w:t xml:space="preserve">   2018-05       977,544.69       10,658,744.28</w:t>
        <w:br/>
        <w:t xml:space="preserve">   2018-06       856,077.86       11,514,822.14</w:t>
        <w:br/>
        <w:t xml:space="preserve">   2018-07       867,953.46       12,382,775.60</w:t>
        <w:br/>
        <w:t xml:space="preserve">   2018-08       838,576.64       13,221,352.24</w:t>
      </w:r>
    </w:p>
    <w:p>
      <w:r>
        <w:rPr>
          <w:i/>
          <w:color w:val="3C64A0"/>
          <w:sz w:val="18"/>
        </w:rPr>
        <w:t>▶ Notebook Output: SQL Q12 cumulative revenue chart (cell 88)</w:t>
      </w:r>
    </w:p>
    <w:p>
      <w:pPr>
        <w:jc w:val="center"/>
      </w:pPr>
      <w:r>
        <w:drawing>
          <wp:inline xmlns:a="http://schemas.openxmlformats.org/drawingml/2006/main" xmlns:pic="http://schemas.openxmlformats.org/drawingml/2006/picture">
            <wp:extent cx="5486400" cy="1522238"/>
            <wp:docPr id="37" name="Picture 37"/>
            <wp:cNvGraphicFramePr>
              <a:graphicFrameLocks noChangeAspect="1"/>
            </wp:cNvGraphicFramePr>
            <a:graphic>
              <a:graphicData uri="http://schemas.openxmlformats.org/drawingml/2006/picture">
                <pic:pic>
                  <pic:nvPicPr>
                    <pic:cNvPr id="0" name="cell_088.png"/>
                    <pic:cNvPicPr/>
                  </pic:nvPicPr>
                  <pic:blipFill>
                    <a:blip r:embed="rId45"/>
                    <a:stretch>
                      <a:fillRect/>
                    </a:stretch>
                  </pic:blipFill>
                  <pic:spPr>
                    <a:xfrm>
                      <a:off x="0" y="0"/>
                      <a:ext cx="5486400" cy="1522238"/>
                    </a:xfrm>
                    <a:prstGeom prst="rect"/>
                  </pic:spPr>
                </pic:pic>
              </a:graphicData>
            </a:graphic>
          </wp:inline>
        </w:drawing>
      </w:r>
    </w:p>
    <w:p>
      <w:pPr>
        <w:jc w:val="center"/>
      </w:pPr>
      <w:r>
        <w:rPr>
          <w:i/>
          <w:color w:val="787878"/>
          <w:sz w:val="17"/>
        </w:rPr>
        <w:t>Fig 37: SQL Q12 — monthly revenue bars + cumulative revenue line</w:t>
      </w:r>
    </w:p>
    <w:p>
      <w:pPr>
        <w:pStyle w:val="Heading2"/>
      </w:pPr>
      <w:r>
        <w:rPr>
          <w:color w:val="00467F"/>
        </w:rPr>
        <w:t>17.14 SQL Q13 – Order Status with Window Function</w:t>
      </w:r>
    </w:p>
    <w:p>
      <w:pPr>
        <w:jc w:val="left"/>
      </w:pPr>
      <w:r>
        <w:rPr>
          <w:b w:val="0"/>
          <w:i w:val="0"/>
          <w:sz w:val="21"/>
        </w:rPr>
        <w:t>SUM(COUNT(order_id)) OVER () window function to compute percentage of grand total in one query</w:t>
      </w:r>
    </w:p>
    <w:p>
      <w:r>
        <w:rPr>
          <w:i/>
          <w:color w:val="3C64A0"/>
          <w:sz w:val="18"/>
        </w:rPr>
        <w:t>▶ Notebook Output: SQL Q13 output (cell 90)</w:t>
      </w:r>
    </w:p>
    <w:p>
      <w:pPr>
        <w:ind w:left="283"/>
        <w:shd w:val="clear" w:color="auto" w:fill="F0F4F8"/>
      </w:pPr>
      <w:r>
        <w:rPr>
          <w:rFonts w:ascii="Courier New" w:hAnsi="Courier New"/>
          <w:color w:val="141450"/>
          <w:sz w:val="16"/>
        </w:rPr>
        <w:t>SQL Q13: Order Status Distribution with % (Window Function)</w:t>
        <w:br/>
        <w:t>-----------------------------------------------------------</w:t>
        <w:br/>
        <w:t>order_status  order_count  pct_of_total</w:t>
        <w:br/>
        <w:t xml:space="preserve">   delivered        96478         97.02</w:t>
        <w:br/>
        <w:t xml:space="preserve">     shipped         1107          1.11</w:t>
        <w:br/>
        <w:t xml:space="preserve">    canceled          625          0.63</w:t>
        <w:br/>
        <w:t xml:space="preserve"> unavailable          609          0.61</w:t>
        <w:br/>
        <w:t xml:space="preserve">    invoiced          314          0.32</w:t>
        <w:br/>
        <w:t xml:space="preserve">  processing          301          0.30</w:t>
        <w:br/>
        <w:t xml:space="preserve">     created            5          0.01</w:t>
        <w:br/>
        <w:t xml:space="preserve">    approved            2          0.00</w:t>
      </w:r>
    </w:p>
    <w:p>
      <w:pPr>
        <w:pStyle w:val="Heading2"/>
      </w:pPr>
      <w:r>
        <w:rPr>
          <w:color w:val="00467F"/>
        </w:rPr>
        <w:t>17.15 SQL Q14 – Freight-to-Price Ratio</w:t>
      </w:r>
    </w:p>
    <w:p>
      <w:pPr>
        <w:jc w:val="left"/>
      </w:pPr>
      <w:r>
        <w:rPr>
          <w:b w:val="0"/>
          <w:i w:val="0"/>
          <w:sz w:val="21"/>
        </w:rPr>
        <w:t>AVG(freight_value / (price + 0.01)) arithmetic expression in SELECT | HAVING items &gt;= 100</w:t>
      </w:r>
    </w:p>
    <w:p>
      <w:r>
        <w:rPr>
          <w:i/>
          <w:color w:val="3C64A0"/>
          <w:sz w:val="18"/>
        </w:rPr>
        <w:t>▶ Notebook Output: SQL Q14 output (cell 92)</w:t>
      </w:r>
    </w:p>
    <w:p>
      <w:pPr>
        <w:ind w:left="283"/>
        <w:shd w:val="clear" w:color="auto" w:fill="F0F4F8"/>
      </w:pPr>
      <w:r>
        <w:rPr>
          <w:rFonts w:ascii="Courier New" w:hAnsi="Courier New"/>
          <w:color w:val="141450"/>
          <w:sz w:val="16"/>
        </w:rPr>
        <w:t>SQL Q14: Top 12 Categories by Freight-to-Price Ratio</w:t>
        <w:br/>
        <w:t>----------------------------------------------------</w:t>
        <w:br/>
        <w:t xml:space="preserve">                category  items  avg_price  avg_freight  freight_ratio</w:t>
        <w:br/>
        <w:t xml:space="preserve">             electronics   2729      56.81        16.74           0.68</w:t>
        <w:br/>
        <w:t xml:space="preserve">      christmas_supplies    150      58.25        21.27           0.67</w:t>
        <w:br/>
        <w:t xml:space="preserve"> fashion_underwear_beach    127      73.28        14.60           0.55</w:t>
        <w:br/>
        <w:t xml:space="preserve">  signaling_and_security    197     108.20        32.88           0.55</w:t>
        <w:br/>
        <w:t xml:space="preserve">               telephony   4430      69.95        15.65           0.51</w:t>
        <w:br/>
        <w:t xml:space="preserve">              food_drink    269      55.55        16.34           0.49</w:t>
        <w:br/>
        <w:t>costruction_tools_garden    232     108.17        22.36           0.42</w:t>
        <w:br/>
        <w:t xml:space="preserve">                  drinks    361      59.64        15.07           0.41</w:t>
        <w:br/>
        <w:t xml:space="preserve">              housewares   6795      90.60        21.01           0.40</w:t>
        <w:br/>
        <w:t xml:space="preserve">         fixed_telephony    255     216.92        17.65           0.40</w:t>
        <w:br/>
        <w:t xml:space="preserve">         home_appliances    754     104.55        19.19           0.39</w:t>
        <w:br/>
        <w:t xml:space="preserve">          consoles_games   1089     135.91        17.53           0.39</w:t>
      </w:r>
    </w:p>
    <w:p>
      <w:pPr>
        <w:pStyle w:val="Heading2"/>
      </w:pPr>
      <w:r>
        <w:rPr>
          <w:color w:val="00467F"/>
        </w:rPr>
        <w:t>17.16 SQL Q15 – High-Value Repeat Customers</w:t>
      </w:r>
    </w:p>
    <w:p>
      <w:pPr>
        <w:jc w:val="left"/>
      </w:pPr>
      <w:r>
        <w:rPr>
          <w:b w:val="0"/>
          <w:i w:val="0"/>
          <w:sz w:val="21"/>
        </w:rPr>
        <w:t>HAVING order_count &gt; 1 AND total_spend &gt; 500 | 4-table JOIN including LEFT JOIN reviews</w:t>
      </w:r>
    </w:p>
    <w:p>
      <w:r>
        <w:rPr>
          <w:i/>
          <w:color w:val="3C64A0"/>
          <w:sz w:val="18"/>
        </w:rPr>
        <w:t>▶ Notebook Output: SQL Q15 output (cell 94)</w:t>
      </w:r>
    </w:p>
    <w:p>
      <w:pPr>
        <w:ind w:left="283"/>
        <w:shd w:val="clear" w:color="auto" w:fill="F0F4F8"/>
      </w:pPr>
      <w:r>
        <w:rPr>
          <w:rFonts w:ascii="Courier New" w:hAnsi="Courier New"/>
          <w:color w:val="141450"/>
          <w:sz w:val="16"/>
        </w:rPr>
        <w:t>SQL Q15: Top High-Value Repeat Customers (&gt;1 order, &gt;R$500 spend)</w:t>
        <w:br/>
        <w:t>-----------------------------------------------------------------</w:t>
        <w:br/>
        <w:t>customer_unique_id customer_state  order_count  total_spend  avg_review</w:t>
        <w:br/>
        <w:t xml:space="preserve">       da122df9...             RJ            2     7,388.00        5.00</w:t>
        <w:br/>
        <w:t xml:space="preserve">       c8460e42...             RS            4     4,080.00        4.00</w:t>
        <w:br/>
        <w:t xml:space="preserve">       59d66d72...             SP            2     3,459.00        5.00</w:t>
        <w:br/>
        <w:t xml:space="preserve">       6ddbc64b...             SP            2     3,162.00        5.00</w:t>
        <w:br/>
        <w:t xml:space="preserve">       d77aa958...             BA            2     2,400.00        5.00</w:t>
        <w:br/>
        <w:t xml:space="preserve">       4e1cce07...             SP            3     2,366.60        4.25</w:t>
        <w:br/>
        <w:t xml:space="preserve">       7b0eaf68...             SP            2     2,238.42        5.00</w:t>
        <w:br/>
        <w:t xml:space="preserve">       86df00dc...             RS            3     2,200.00        5.00</w:t>
        <w:br/>
        <w:t xml:space="preserve">       73601b1e...             MG            2     2,009.98        4.50</w:t>
        <w:br/>
        <w:t xml:space="preserve">       1da09dd6...             RJ            3     1,980.28        3.40</w:t>
        <w:br/>
        <w:t xml:space="preserve">       c0536ee7...             SP            2     1,957.72        4.00</w:t>
        <w:br/>
        <w:t xml:space="preserve">       906a8a4e...             SP            2     1,835.00        2.43</w:t>
        <w:br/>
        <w:t xml:space="preserve">       0341bbd5...             RJ            2     1,828.44        5.00</w:t>
        <w:br/>
        <w:t xml:space="preserve">       eae0a83d...             BA            2     1,821.73        3.00</w:t>
        <w:br/>
        <w:t xml:space="preserve">       e271fa40...             SP            2     1,799.97        3.67</w:t>
        <w:br/>
        <w:br/>
        <w:t>Total high-value repeat customers (&gt;1 order, &gt;R$500): 15+</w:t>
      </w:r>
    </w:p>
    <w:p>
      <w:r>
        <w:br w:type="page"/>
      </w:r>
    </w:p>
    <w:p>
      <w:pPr>
        <w:pStyle w:val="Heading1"/>
      </w:pPr>
      <w:r>
        <w:rPr>
          <w:color w:val="00467F"/>
        </w:rPr>
        <w:t>18. Business Questions &amp; Answers (27 Questions)</w:t>
      </w:r>
    </w:p>
    <w:p>
      <w:pPr>
        <w:jc w:val="left"/>
      </w:pPr>
      <w:r>
        <w:rPr>
          <w:b w:val="0"/>
          <w:i w:val="0"/>
          <w:sz w:val="21"/>
        </w:rPr>
        <w:t>All answers reference actual computed values from the dataset.</w:t>
      </w:r>
    </w:p>
    <w:tbl>
      <w:tblPr>
        <w:tblStyle w:val="TableGrid"/>
        <w:tblW w:type="auto" w:w="0"/>
        <w:jc w:val="center"/>
        <w:tblLook w:firstColumn="1" w:firstRow="1" w:lastColumn="0" w:lastRow="0" w:noHBand="0" w:noVBand="1" w:val="04A0"/>
      </w:tblPr>
      <w:tblGrid>
        <w:gridCol w:w="3079"/>
        <w:gridCol w:w="3079"/>
        <w:gridCol w:w="3079"/>
      </w:tblGrid>
      <w:tr>
        <w:tc>
          <w:tcPr>
            <w:tcW w:type="dxa" w:w="3079"/>
            <w:shd w:val="clear" w:color="auto" w:fill="1F4E79"/>
          </w:tcPr>
          <w:p>
            <w:r>
              <w:rPr>
                <w:b/>
                <w:color w:val="FFFFFF"/>
                <w:sz w:val="16"/>
              </w:rPr>
              <w:t>#</w:t>
            </w:r>
          </w:p>
        </w:tc>
        <w:tc>
          <w:tcPr>
            <w:tcW w:type="dxa" w:w="3079"/>
            <w:shd w:val="clear" w:color="auto" w:fill="1F4E79"/>
          </w:tcPr>
          <w:p>
            <w:r>
              <w:rPr>
                <w:b/>
                <w:color w:val="FFFFFF"/>
                <w:sz w:val="16"/>
              </w:rPr>
              <w:t>Question</w:t>
            </w:r>
          </w:p>
        </w:tc>
        <w:tc>
          <w:tcPr>
            <w:tcW w:type="dxa" w:w="3079"/>
            <w:shd w:val="clear" w:color="auto" w:fill="1F4E79"/>
          </w:tcPr>
          <w:p>
            <w:r>
              <w:rPr>
                <w:b/>
                <w:color w:val="FFFFFF"/>
                <w:sz w:val="16"/>
              </w:rPr>
              <w:t>Answer (Actual Data)</w:t>
            </w:r>
          </w:p>
        </w:tc>
      </w:tr>
      <w:tr>
        <w:tc>
          <w:tcPr>
            <w:tcW w:type="dxa" w:w="3079"/>
          </w:tcPr>
          <w:p>
            <w:r>
              <w:rPr>
                <w:sz w:val="16"/>
              </w:rPr>
              <w:t>Q1</w:t>
            </w:r>
          </w:p>
        </w:tc>
        <w:tc>
          <w:tcPr>
            <w:tcW w:type="dxa" w:w="3079"/>
          </w:tcPr>
          <w:p>
            <w:r>
              <w:rPr>
                <w:sz w:val="16"/>
              </w:rPr>
              <w:t>Monthly revenue trend?</w:t>
            </w:r>
          </w:p>
        </w:tc>
        <w:tc>
          <w:tcPr>
            <w:tcW w:type="dxa" w:w="3079"/>
          </w:tcPr>
          <w:p>
            <w:r>
              <w:rPr>
                <w:sz w:val="16"/>
              </w:rPr>
              <w:t>R$40K Oct 2016 → R$600K+/mo by mid-2018. Peak: Nov 2017 R$987,765.</w:t>
            </w:r>
          </w:p>
        </w:tc>
      </w:tr>
      <w:tr>
        <w:tc>
          <w:tcPr>
            <w:tcW w:type="dxa" w:w="3079"/>
          </w:tcPr>
          <w:p>
            <w:r>
              <w:rPr>
                <w:sz w:val="16"/>
              </w:rPr>
              <w:t>Q2</w:t>
            </w:r>
          </w:p>
        </w:tc>
        <w:tc>
          <w:tcPr>
            <w:tcW w:type="dxa" w:w="3079"/>
          </w:tcPr>
          <w:p>
            <w:r>
              <w:rPr>
                <w:sz w:val="16"/>
              </w:rPr>
              <w:t>Top categories by revenue?</w:t>
            </w:r>
          </w:p>
        </w:tc>
        <w:tc>
          <w:tcPr>
            <w:tcW w:type="dxa" w:w="3079"/>
          </w:tcPr>
          <w:p>
            <w:r>
              <w:rPr>
                <w:sz w:val="16"/>
              </w:rPr>
              <w:t>health_beauty R$1.23M, watches_gifts R$1.17M, bed_bath_table R$1.02M.</w:t>
            </w:r>
          </w:p>
        </w:tc>
      </w:tr>
      <w:tr>
        <w:tc>
          <w:tcPr>
            <w:tcW w:type="dxa" w:w="3079"/>
          </w:tcPr>
          <w:p>
            <w:r>
              <w:rPr>
                <w:sz w:val="16"/>
              </w:rPr>
              <w:t>Q3</w:t>
            </w:r>
          </w:p>
        </w:tc>
        <w:tc>
          <w:tcPr>
            <w:tcW w:type="dxa" w:w="3079"/>
          </w:tcPr>
          <w:p>
            <w:r>
              <w:rPr>
                <w:sz w:val="16"/>
              </w:rPr>
              <w:t>AOV by category?</w:t>
            </w:r>
          </w:p>
        </w:tc>
        <w:tc>
          <w:tcPr>
            <w:tcW w:type="dxa" w:w="3079"/>
          </w:tcPr>
          <w:p>
            <w:r>
              <w:rPr>
                <w:sz w:val="16"/>
              </w:rPr>
              <w:t>Computers &amp; audio &gt;R$300 avg. health_beauty avg R$130.28.</w:t>
            </w:r>
          </w:p>
        </w:tc>
      </w:tr>
      <w:tr>
        <w:tc>
          <w:tcPr>
            <w:tcW w:type="dxa" w:w="3079"/>
          </w:tcPr>
          <w:p>
            <w:r>
              <w:rPr>
                <w:sz w:val="16"/>
              </w:rPr>
              <w:t>Q4</w:t>
            </w:r>
          </w:p>
        </w:tc>
        <w:tc>
          <w:tcPr>
            <w:tcW w:type="dxa" w:w="3079"/>
          </w:tcPr>
          <w:p>
            <w:r>
              <w:rPr>
                <w:sz w:val="16"/>
              </w:rPr>
              <w:t>Best/worst days?</w:t>
            </w:r>
          </w:p>
        </w:tc>
        <w:tc>
          <w:tcPr>
            <w:tcW w:type="dxa" w:w="3079"/>
          </w:tcPr>
          <w:p>
            <w:r>
              <w:rPr>
                <w:sz w:val="16"/>
              </w:rPr>
              <w:t>Mon-Tue highest; Sat-Sun lowest. Evening (14-21h) peak.</w:t>
            </w:r>
          </w:p>
        </w:tc>
      </w:tr>
      <w:tr>
        <w:tc>
          <w:tcPr>
            <w:tcW w:type="dxa" w:w="3079"/>
          </w:tcPr>
          <w:p>
            <w:r>
              <w:rPr>
                <w:sz w:val="16"/>
              </w:rPr>
              <w:t>Q5</w:t>
            </w:r>
          </w:p>
        </w:tc>
        <w:tc>
          <w:tcPr>
            <w:tcW w:type="dxa" w:w="3079"/>
          </w:tcPr>
          <w:p>
            <w:r>
              <w:rPr>
                <w:sz w:val="16"/>
              </w:rPr>
              <w:t>Order value distribution?</w:t>
            </w:r>
          </w:p>
        </w:tc>
        <w:tc>
          <w:tcPr>
            <w:tcW w:type="dxa" w:w="3079"/>
          </w:tcPr>
          <w:p>
            <w:r>
              <w:rPr>
                <w:sz w:val="16"/>
              </w:rPr>
              <w:t>Majority R$50-R$200. Max R$13,664. Mean R$159.83, median R$105.28.</w:t>
            </w:r>
          </w:p>
        </w:tc>
      </w:tr>
      <w:tr>
        <w:tc>
          <w:tcPr>
            <w:tcW w:type="dxa" w:w="3079"/>
          </w:tcPr>
          <w:p>
            <w:r>
              <w:rPr>
                <w:sz w:val="16"/>
              </w:rPr>
              <w:t>Q6</w:t>
            </w:r>
          </w:p>
        </w:tc>
        <w:tc>
          <w:tcPr>
            <w:tcW w:type="dxa" w:w="3079"/>
          </w:tcPr>
          <w:p>
            <w:r>
              <w:rPr>
                <w:sz w:val="16"/>
              </w:rPr>
              <w:t>Hourly pattern?</w:t>
            </w:r>
          </w:p>
        </w:tc>
        <w:tc>
          <w:tcPr>
            <w:tcW w:type="dxa" w:w="3079"/>
          </w:tcPr>
          <w:p>
            <w:r>
              <w:rPr>
                <w:sz w:val="16"/>
              </w:rPr>
              <w:t>Peak 14:00-21:00. Minimum 00:00-05:00.</w:t>
            </w:r>
          </w:p>
        </w:tc>
      </w:tr>
      <w:tr>
        <w:tc>
          <w:tcPr>
            <w:tcW w:type="dxa" w:w="3079"/>
          </w:tcPr>
          <w:p>
            <w:r>
              <w:rPr>
                <w:sz w:val="16"/>
              </w:rPr>
              <w:t>Q7</w:t>
            </w:r>
          </w:p>
        </w:tc>
        <w:tc>
          <w:tcPr>
            <w:tcW w:type="dxa" w:w="3079"/>
          </w:tcPr>
          <w:p>
            <w:r>
              <w:rPr>
                <w:sz w:val="16"/>
              </w:rPr>
              <w:t>YoY growth?</w:t>
            </w:r>
          </w:p>
        </w:tc>
        <w:tc>
          <w:tcPr>
            <w:tcW w:type="dxa" w:w="3079"/>
          </w:tcPr>
          <w:p>
            <w:r>
              <w:rPr>
                <w:sz w:val="16"/>
              </w:rPr>
              <w:t>2018 vs 2017 (Jan-Aug): revenue +141.1%, orders +139.9%.</w:t>
            </w:r>
          </w:p>
        </w:tc>
      </w:tr>
      <w:tr>
        <w:tc>
          <w:tcPr>
            <w:tcW w:type="dxa" w:w="3079"/>
          </w:tcPr>
          <w:p>
            <w:r>
              <w:rPr>
                <w:sz w:val="16"/>
              </w:rPr>
              <w:t>Q8</w:t>
            </w:r>
          </w:p>
        </w:tc>
        <w:tc>
          <w:tcPr>
            <w:tcW w:type="dxa" w:w="3079"/>
          </w:tcPr>
          <w:p>
            <w:r>
              <w:rPr>
                <w:sz w:val="16"/>
              </w:rPr>
              <w:t>30-day rolling trend?</w:t>
            </w:r>
          </w:p>
        </w:tc>
        <w:tc>
          <w:tcPr>
            <w:tcW w:type="dxa" w:w="3079"/>
          </w:tcPr>
          <w:p>
            <w:r>
              <w:rPr>
                <w:sz w:val="16"/>
              </w:rPr>
              <w:t>Consistent upward trajectory. Nov 2017 Black Friday spike clearly visible.</w:t>
            </w:r>
          </w:p>
        </w:tc>
      </w:tr>
      <w:tr>
        <w:tc>
          <w:tcPr>
            <w:tcW w:type="dxa" w:w="3079"/>
          </w:tcPr>
          <w:p>
            <w:r>
              <w:rPr>
                <w:sz w:val="16"/>
              </w:rPr>
              <w:t>Q9</w:t>
            </w:r>
          </w:p>
        </w:tc>
        <w:tc>
          <w:tcPr>
            <w:tcW w:type="dxa" w:w="3079"/>
          </w:tcPr>
          <w:p>
            <w:r>
              <w:rPr>
                <w:sz w:val="16"/>
              </w:rPr>
              <w:t>Quarterly comparison?</w:t>
            </w:r>
          </w:p>
        </w:tc>
        <w:tc>
          <w:tcPr>
            <w:tcW w:type="dxa" w:w="3079"/>
          </w:tcPr>
          <w:p>
            <w:r>
              <w:rPr>
                <w:sz w:val="16"/>
              </w:rPr>
              <w:t>2018 Q1 R$2.70M vs 2017 Q1 R$0.71M. Q4 2017 R$2.36M peak.</w:t>
            </w:r>
          </w:p>
        </w:tc>
      </w:tr>
      <w:tr>
        <w:tc>
          <w:tcPr>
            <w:tcW w:type="dxa" w:w="3079"/>
          </w:tcPr>
          <w:p>
            <w:r>
              <w:rPr>
                <w:sz w:val="16"/>
              </w:rPr>
              <w:t>Q10</w:t>
            </w:r>
          </w:p>
        </w:tc>
        <w:tc>
          <w:tcPr>
            <w:tcW w:type="dxa" w:w="3079"/>
          </w:tcPr>
          <w:p>
            <w:r>
              <w:rPr>
                <w:sz w:val="16"/>
              </w:rPr>
              <w:t>Avg orders/customer?</w:t>
            </w:r>
          </w:p>
        </w:tc>
        <w:tc>
          <w:tcPr>
            <w:tcW w:type="dxa" w:w="3079"/>
          </w:tcPr>
          <w:p>
            <w:r>
              <w:rPr>
                <w:sz w:val="16"/>
              </w:rPr>
              <w:t>1.033 avg. 97.00% single-purchase (90,557 customers, SQL Q8).</w:t>
            </w:r>
          </w:p>
        </w:tc>
      </w:tr>
      <w:tr>
        <w:tc>
          <w:tcPr>
            <w:tcW w:type="dxa" w:w="3079"/>
          </w:tcPr>
          <w:p>
            <w:r>
              <w:rPr>
                <w:sz w:val="16"/>
              </w:rPr>
              <w:t>Q11</w:t>
            </w:r>
          </w:p>
        </w:tc>
        <w:tc>
          <w:tcPr>
            <w:tcW w:type="dxa" w:w="3079"/>
          </w:tcPr>
          <w:p>
            <w:r>
              <w:rPr>
                <w:sz w:val="16"/>
              </w:rPr>
              <w:t>Customer spend distribution?</w:t>
            </w:r>
          </w:p>
        </w:tc>
        <w:tc>
          <w:tcPr>
            <w:tcW w:type="dxa" w:w="3079"/>
          </w:tcPr>
          <w:p>
            <w:r>
              <w:rPr>
                <w:sz w:val="16"/>
              </w:rPr>
              <w:t>Top 10% = R$5.44M (41.1%). Bottom 10% = R$174K (1.3%).</w:t>
            </w:r>
          </w:p>
        </w:tc>
      </w:tr>
      <w:tr>
        <w:tc>
          <w:tcPr>
            <w:tcW w:type="dxa" w:w="3079"/>
          </w:tcPr>
          <w:p>
            <w:r>
              <w:rPr>
                <w:sz w:val="16"/>
              </w:rPr>
              <w:t>Q12</w:t>
            </w:r>
          </w:p>
        </w:tc>
        <w:tc>
          <w:tcPr>
            <w:tcW w:type="dxa" w:w="3079"/>
          </w:tcPr>
          <w:p>
            <w:r>
              <w:rPr>
                <w:sz w:val="16"/>
              </w:rPr>
              <w:t>Top states?</w:t>
            </w:r>
          </w:p>
        </w:tc>
        <w:tc>
          <w:tcPr>
            <w:tcW w:type="dxa" w:w="3079"/>
          </w:tcPr>
          <w:p>
            <w:r>
              <w:rPr>
                <w:sz w:val="16"/>
              </w:rPr>
              <w:t>SP R$5.07M (40,501 orders), RJ R$1.76M, MG R$1.55M (SQL Q4).</w:t>
            </w:r>
          </w:p>
        </w:tc>
      </w:tr>
      <w:tr>
        <w:tc>
          <w:tcPr>
            <w:tcW w:type="dxa" w:w="3079"/>
          </w:tcPr>
          <w:p>
            <w:r>
              <w:rPr>
                <w:sz w:val="16"/>
              </w:rPr>
              <w:t>Q13</w:t>
            </w:r>
          </w:p>
        </w:tc>
        <w:tc>
          <w:tcPr>
            <w:tcW w:type="dxa" w:w="3079"/>
          </w:tcPr>
          <w:p>
            <w:r>
              <w:rPr>
                <w:sz w:val="16"/>
              </w:rPr>
              <w:t>Freight by state?</w:t>
            </w:r>
          </w:p>
        </w:tc>
        <w:tc>
          <w:tcPr>
            <w:tcW w:type="dxa" w:w="3079"/>
          </w:tcPr>
          <w:p>
            <w:r>
              <w:rPr>
                <w:sz w:val="16"/>
              </w:rPr>
              <w:t>AM avg 26.4 days delivery. SP ~9 days. AL 23.93% late rate.</w:t>
            </w:r>
          </w:p>
        </w:tc>
      </w:tr>
      <w:tr>
        <w:tc>
          <w:tcPr>
            <w:tcW w:type="dxa" w:w="3079"/>
          </w:tcPr>
          <w:p>
            <w:r>
              <w:rPr>
                <w:sz w:val="16"/>
              </w:rPr>
              <w:t>Q14</w:t>
            </w:r>
          </w:p>
        </w:tc>
        <w:tc>
          <w:tcPr>
            <w:tcW w:type="dxa" w:w="3079"/>
          </w:tcPr>
          <w:p>
            <w:r>
              <w:rPr>
                <w:sz w:val="16"/>
              </w:rPr>
              <w:t>Seller concentration?</w:t>
            </w:r>
          </w:p>
        </w:tc>
        <w:tc>
          <w:tcPr>
            <w:tcW w:type="dxa" w:w="3079"/>
          </w:tcPr>
          <w:p>
            <w:r>
              <w:rPr>
                <w:sz w:val="16"/>
              </w:rPr>
              <w:t>SP highest. 3,095 total active sellers.</w:t>
            </w:r>
          </w:p>
        </w:tc>
      </w:tr>
      <w:tr>
        <w:tc>
          <w:tcPr>
            <w:tcW w:type="dxa" w:w="3079"/>
          </w:tcPr>
          <w:p>
            <w:r>
              <w:rPr>
                <w:sz w:val="16"/>
              </w:rPr>
              <w:t>Q15</w:t>
            </w:r>
          </w:p>
        </w:tc>
        <w:tc>
          <w:tcPr>
            <w:tcW w:type="dxa" w:w="3079"/>
          </w:tcPr>
          <w:p>
            <w:r>
              <w:rPr>
                <w:sz w:val="16"/>
              </w:rPr>
              <w:t>Review distribution?</w:t>
            </w:r>
          </w:p>
        </w:tc>
        <w:tc>
          <w:tcPr>
            <w:tcW w:type="dxa" w:w="3079"/>
          </w:tcPr>
          <w:p>
            <w:r>
              <w:rPr>
                <w:sz w:val="16"/>
              </w:rPr>
              <w:t>57%+ 5-star. Avg 4.16/5. Bimodal at 1 and 5.</w:t>
            </w:r>
          </w:p>
        </w:tc>
      </w:tr>
      <w:tr>
        <w:tc>
          <w:tcPr>
            <w:tcW w:type="dxa" w:w="3079"/>
          </w:tcPr>
          <w:p>
            <w:r>
              <w:rPr>
                <w:sz w:val="16"/>
              </w:rPr>
              <w:t>Q16</w:t>
            </w:r>
          </w:p>
        </w:tc>
        <w:tc>
          <w:tcPr>
            <w:tcW w:type="dxa" w:w="3079"/>
          </w:tcPr>
          <w:p>
            <w:r>
              <w:rPr>
                <w:sz w:val="16"/>
              </w:rPr>
              <w:t>Delay vs reviews?</w:t>
            </w:r>
          </w:p>
        </w:tc>
        <w:tc>
          <w:tcPr>
            <w:tcW w:type="dxa" w:w="3079"/>
          </w:tcPr>
          <w:p>
            <w:r>
              <w:rPr>
                <w:sz w:val="16"/>
              </w:rPr>
              <w:t>Severe delay → 1.70 avg. Early → 4.32 avg (SQL Q6 JULIANDAY).</w:t>
            </w:r>
          </w:p>
        </w:tc>
      </w:tr>
      <w:tr>
        <w:tc>
          <w:tcPr>
            <w:tcW w:type="dxa" w:w="3079"/>
          </w:tcPr>
          <w:p>
            <w:r>
              <w:rPr>
                <w:sz w:val="16"/>
              </w:rPr>
              <w:t>Q17</w:t>
            </w:r>
          </w:p>
        </w:tc>
        <w:tc>
          <w:tcPr>
            <w:tcW w:type="dxa" w:w="3079"/>
          </w:tcPr>
          <w:p>
            <w:r>
              <w:rPr>
                <w:sz w:val="16"/>
              </w:rPr>
              <w:t>Best/worst categories?</w:t>
            </w:r>
          </w:p>
        </w:tc>
        <w:tc>
          <w:tcPr>
            <w:tcW w:type="dxa" w:w="3079"/>
          </w:tcPr>
          <w:p>
            <w:r>
              <w:rPr>
                <w:sz w:val="16"/>
              </w:rPr>
              <w:t>Best: books_general_interest 4.51. Security systems lowest.</w:t>
            </w:r>
          </w:p>
        </w:tc>
      </w:tr>
      <w:tr>
        <w:tc>
          <w:tcPr>
            <w:tcW w:type="dxa" w:w="3079"/>
          </w:tcPr>
          <w:p>
            <w:r>
              <w:rPr>
                <w:sz w:val="16"/>
              </w:rPr>
              <w:t>Q18</w:t>
            </w:r>
          </w:p>
        </w:tc>
        <w:tc>
          <w:tcPr>
            <w:tcW w:type="dxa" w:w="3079"/>
          </w:tcPr>
          <w:p>
            <w:r>
              <w:rPr>
                <w:sz w:val="16"/>
              </w:rPr>
              <w:t>Payment share?</w:t>
            </w:r>
          </w:p>
        </w:tc>
        <w:tc>
          <w:tcPr>
            <w:tcW w:type="dxa" w:w="3079"/>
          </w:tcPr>
          <w:p>
            <w:r>
              <w:rPr>
                <w:sz w:val="16"/>
              </w:rPr>
              <w:t>Credit card 73.9% (R$12.1M), boleto 19.0% (R$2.8M) (SQL Q5).</w:t>
            </w:r>
          </w:p>
        </w:tc>
      </w:tr>
      <w:tr>
        <w:tc>
          <w:tcPr>
            <w:tcW w:type="dxa" w:w="3079"/>
          </w:tcPr>
          <w:p>
            <w:r>
              <w:rPr>
                <w:sz w:val="16"/>
              </w:rPr>
              <w:t>Q19</w:t>
            </w:r>
          </w:p>
        </w:tc>
        <w:tc>
          <w:tcPr>
            <w:tcW w:type="dxa" w:w="3079"/>
          </w:tcPr>
          <w:p>
            <w:r>
              <w:rPr>
                <w:sz w:val="16"/>
              </w:rPr>
              <w:t>Installment preference?</w:t>
            </w:r>
          </w:p>
        </w:tc>
        <w:tc>
          <w:tcPr>
            <w:tcW w:type="dxa" w:w="3079"/>
          </w:tcPr>
          <w:p>
            <w:r>
              <w:rPr>
                <w:sz w:val="16"/>
              </w:rPr>
              <w:t>1-installment most common. Avg 3.50 for credit card.</w:t>
            </w:r>
          </w:p>
        </w:tc>
      </w:tr>
      <w:tr>
        <w:tc>
          <w:tcPr>
            <w:tcW w:type="dxa" w:w="3079"/>
          </w:tcPr>
          <w:p>
            <w:r>
              <w:rPr>
                <w:sz w:val="16"/>
              </w:rPr>
              <w:t>Q20</w:t>
            </w:r>
          </w:p>
        </w:tc>
        <w:tc>
          <w:tcPr>
            <w:tcW w:type="dxa" w:w="3079"/>
          </w:tcPr>
          <w:p>
            <w:r>
              <w:rPr>
                <w:sz w:val="16"/>
              </w:rPr>
              <w:t>Installments vs value?</w:t>
            </w:r>
          </w:p>
        </w:tc>
        <w:tc>
          <w:tcPr>
            <w:tcW w:type="dxa" w:w="3079"/>
          </w:tcPr>
          <w:p>
            <w:r>
              <w:rPr>
                <w:sz w:val="16"/>
              </w:rPr>
              <w:t>r≈0.5 correlation. 10-12 installments avg R$600+.</w:t>
            </w:r>
          </w:p>
        </w:tc>
      </w:tr>
      <w:tr>
        <w:tc>
          <w:tcPr>
            <w:tcW w:type="dxa" w:w="3079"/>
          </w:tcPr>
          <w:p>
            <w:r>
              <w:rPr>
                <w:sz w:val="16"/>
              </w:rPr>
              <w:t>Q21</w:t>
            </w:r>
          </w:p>
        </w:tc>
        <w:tc>
          <w:tcPr>
            <w:tcW w:type="dxa" w:w="3079"/>
          </w:tcPr>
          <w:p>
            <w:r>
              <w:rPr>
                <w:sz w:val="16"/>
              </w:rPr>
              <w:t>Top sellers?</w:t>
            </w:r>
          </w:p>
        </w:tc>
        <w:tc>
          <w:tcPr>
            <w:tcW w:type="dxa" w:w="3079"/>
          </w:tcPr>
          <w:p>
            <w:r>
              <w:rPr>
                <w:sz w:val="16"/>
              </w:rPr>
              <w:t>Top seller: R$226,988, 1,124 orders, SP state (SQL Q7).</w:t>
            </w:r>
          </w:p>
        </w:tc>
      </w:tr>
      <w:tr>
        <w:tc>
          <w:tcPr>
            <w:tcW w:type="dxa" w:w="3079"/>
          </w:tcPr>
          <w:p>
            <w:r>
              <w:rPr>
                <w:sz w:val="16"/>
              </w:rPr>
              <w:t>Q22</w:t>
            </w:r>
          </w:p>
        </w:tc>
        <w:tc>
          <w:tcPr>
            <w:tcW w:type="dxa" w:w="3079"/>
          </w:tcPr>
          <w:p>
            <w:r>
              <w:rPr>
                <w:sz w:val="16"/>
              </w:rPr>
              <w:t>Seller review distribution?</w:t>
            </w:r>
          </w:p>
        </w:tc>
        <w:tc>
          <w:tcPr>
            <w:tcW w:type="dxa" w:w="3079"/>
          </w:tcPr>
          <w:p>
            <w:r>
              <w:rPr>
                <w:sz w:val="16"/>
              </w:rPr>
              <w:t>Bell-shaped, center 3.9-4.3. Mean ≈4.1.</w:t>
            </w:r>
          </w:p>
        </w:tc>
      </w:tr>
      <w:tr>
        <w:tc>
          <w:tcPr>
            <w:tcW w:type="dxa" w:w="3079"/>
          </w:tcPr>
          <w:p>
            <w:r>
              <w:rPr>
                <w:sz w:val="16"/>
              </w:rPr>
              <w:t>Q23</w:t>
            </w:r>
          </w:p>
        </w:tc>
        <w:tc>
          <w:tcPr>
            <w:tcW w:type="dxa" w:w="3079"/>
          </w:tcPr>
          <w:p>
            <w:r>
              <w:rPr>
                <w:sz w:val="16"/>
              </w:rPr>
              <w:t>Freight ratio?</w:t>
            </w:r>
          </w:p>
        </w:tc>
        <w:tc>
          <w:tcPr>
            <w:tcW w:type="dxa" w:w="3079"/>
          </w:tcPr>
          <w:p>
            <w:r>
              <w:rPr>
                <w:sz w:val="16"/>
              </w:rPr>
              <w:t>Electronics 0.68 ratio (freight = 68% of price) (SQL Q14).</w:t>
            </w:r>
          </w:p>
        </w:tc>
      </w:tr>
      <w:tr>
        <w:tc>
          <w:tcPr>
            <w:tcW w:type="dxa" w:w="3079"/>
          </w:tcPr>
          <w:p>
            <w:r>
              <w:rPr>
                <w:sz w:val="16"/>
              </w:rPr>
              <w:t>Q24</w:t>
            </w:r>
          </w:p>
        </w:tc>
        <w:tc>
          <w:tcPr>
            <w:tcW w:type="dxa" w:w="3079"/>
          </w:tcPr>
          <w:p>
            <w:r>
              <w:rPr>
                <w:sz w:val="16"/>
              </w:rPr>
              <w:t>Price vs review?</w:t>
            </w:r>
          </w:p>
        </w:tc>
        <w:tc>
          <w:tcPr>
            <w:tcW w:type="dxa" w:w="3079"/>
          </w:tcPr>
          <w:p>
            <w:r>
              <w:rPr>
                <w:sz w:val="16"/>
              </w:rPr>
              <w:t>Marginal positive. Q5 ~4.20 vs Q1 ~4.05.</w:t>
            </w:r>
          </w:p>
        </w:tc>
      </w:tr>
      <w:tr>
        <w:tc>
          <w:tcPr>
            <w:tcW w:type="dxa" w:w="3079"/>
          </w:tcPr>
          <w:p>
            <w:r>
              <w:rPr>
                <w:sz w:val="16"/>
              </w:rPr>
              <w:t>Q25</w:t>
            </w:r>
          </w:p>
        </w:tc>
        <w:tc>
          <w:tcPr>
            <w:tcW w:type="dxa" w:w="3079"/>
          </w:tcPr>
          <w:p>
            <w:r>
              <w:rPr>
                <w:sz w:val="16"/>
              </w:rPr>
              <w:t>Cancellation rates?</w:t>
            </w:r>
          </w:p>
        </w:tc>
        <w:tc>
          <w:tcPr>
            <w:tcW w:type="dxa" w:w="3079"/>
          </w:tcPr>
          <w:p>
            <w:r>
              <w:rPr>
                <w:sz w:val="16"/>
              </w:rPr>
              <w:t>AL 23.93% late. Overall cancel = 0.63% (SQL Q13 window fn).</w:t>
            </w:r>
          </w:p>
        </w:tc>
      </w:tr>
      <w:tr>
        <w:tc>
          <w:tcPr>
            <w:tcW w:type="dxa" w:w="3079"/>
          </w:tcPr>
          <w:p>
            <w:r>
              <w:rPr>
                <w:sz w:val="16"/>
              </w:rPr>
              <w:t>Q26</w:t>
            </w:r>
          </w:p>
        </w:tc>
        <w:tc>
          <w:tcPr>
            <w:tcW w:type="dxa" w:w="3079"/>
          </w:tcPr>
          <w:p>
            <w:r>
              <w:rPr>
                <w:sz w:val="16"/>
              </w:rPr>
              <w:t>Heaviest categories?</w:t>
            </w:r>
          </w:p>
        </w:tc>
        <w:tc>
          <w:tcPr>
            <w:tcW w:type="dxa" w:w="3079"/>
          </w:tcPr>
          <w:p>
            <w:r>
              <w:rPr>
                <w:sz w:val="16"/>
              </w:rPr>
              <w:t>Furniture, appliances, construction tools (heaviest by weight/volume).</w:t>
            </w:r>
          </w:p>
        </w:tc>
      </w:tr>
      <w:tr>
        <w:tc>
          <w:tcPr>
            <w:tcW w:type="dxa" w:w="3079"/>
          </w:tcPr>
          <w:p>
            <w:r>
              <w:rPr>
                <w:sz w:val="16"/>
              </w:rPr>
              <w:t>Q27</w:t>
            </w:r>
          </w:p>
        </w:tc>
        <w:tc>
          <w:tcPr>
            <w:tcW w:type="dxa" w:w="3079"/>
          </w:tcPr>
          <w:p>
            <w:r>
              <w:rPr>
                <w:sz w:val="16"/>
              </w:rPr>
              <w:t>Late delivery by category?</w:t>
            </w:r>
          </w:p>
        </w:tc>
        <w:tc>
          <w:tcPr>
            <w:tcW w:type="dxa" w:w="3079"/>
          </w:tcPr>
          <w:p>
            <w:r>
              <w:rPr>
                <w:sz w:val="16"/>
              </w:rPr>
              <w:t>office_furniture and kitchen_dining highest late rates.</w:t>
            </w:r>
          </w:p>
        </w:tc>
      </w:tr>
    </w:tbl>
    <w:p/>
    <w:p>
      <w:pPr>
        <w:pStyle w:val="Heading1"/>
      </w:pPr>
      <w:r>
        <w:rPr>
          <w:color w:val="00467F"/>
        </w:rPr>
        <w:t>19. Methodology &amp; Tools</w:t>
      </w:r>
    </w:p>
    <w:tbl>
      <w:tblPr>
        <w:tblStyle w:val="TableGrid"/>
        <w:tblW w:type="auto" w:w="0"/>
        <w:jc w:val="center"/>
        <w:tblLook w:firstColumn="1" w:firstRow="1" w:lastColumn="0" w:lastRow="0" w:noHBand="0" w:noVBand="1" w:val="04A0"/>
      </w:tblPr>
      <w:tblGrid>
        <w:gridCol w:w="3079"/>
        <w:gridCol w:w="3079"/>
        <w:gridCol w:w="3079"/>
      </w:tblGrid>
      <w:tr>
        <w:tc>
          <w:tcPr>
            <w:tcW w:type="dxa" w:w="3079"/>
            <w:shd w:val="clear" w:color="auto" w:fill="1F4E79"/>
          </w:tcPr>
          <w:p>
            <w:r>
              <w:rPr>
                <w:b/>
                <w:color w:val="FFFFFF"/>
                <w:sz w:val="17"/>
              </w:rPr>
              <w:t>Tool</w:t>
            </w:r>
          </w:p>
        </w:tc>
        <w:tc>
          <w:tcPr>
            <w:tcW w:type="dxa" w:w="3079"/>
            <w:shd w:val="clear" w:color="auto" w:fill="1F4E79"/>
          </w:tcPr>
          <w:p>
            <w:r>
              <w:rPr>
                <w:b/>
                <w:color w:val="FFFFFF"/>
                <w:sz w:val="17"/>
              </w:rPr>
              <w:t>Version</w:t>
            </w:r>
          </w:p>
        </w:tc>
        <w:tc>
          <w:tcPr>
            <w:tcW w:type="dxa" w:w="3079"/>
            <w:shd w:val="clear" w:color="auto" w:fill="1F4E79"/>
          </w:tcPr>
          <w:p>
            <w:r>
              <w:rPr>
                <w:b/>
                <w:color w:val="FFFFFF"/>
                <w:sz w:val="17"/>
              </w:rPr>
              <w:t>Purpose</w:t>
            </w:r>
          </w:p>
        </w:tc>
      </w:tr>
      <w:tr>
        <w:tc>
          <w:tcPr>
            <w:tcW w:type="dxa" w:w="3079"/>
          </w:tcPr>
          <w:p>
            <w:r>
              <w:rPr>
                <w:sz w:val="17"/>
              </w:rPr>
              <w:t>Python</w:t>
            </w:r>
          </w:p>
        </w:tc>
        <w:tc>
          <w:tcPr>
            <w:tcW w:type="dxa" w:w="3079"/>
          </w:tcPr>
          <w:p>
            <w:r>
              <w:rPr>
                <w:sz w:val="17"/>
              </w:rPr>
              <w:t>3.11</w:t>
            </w:r>
          </w:p>
        </w:tc>
        <w:tc>
          <w:tcPr>
            <w:tcW w:type="dxa" w:w="3079"/>
          </w:tcPr>
          <w:p>
            <w:r>
              <w:rPr>
                <w:sz w:val="17"/>
              </w:rPr>
              <w:t>Primary language</w:t>
            </w:r>
          </w:p>
        </w:tc>
      </w:tr>
      <w:tr>
        <w:tc>
          <w:tcPr>
            <w:tcW w:type="dxa" w:w="3079"/>
          </w:tcPr>
          <w:p>
            <w:r>
              <w:rPr>
                <w:sz w:val="17"/>
              </w:rPr>
              <w:t>Pandas</w:t>
            </w:r>
          </w:p>
        </w:tc>
        <w:tc>
          <w:tcPr>
            <w:tcW w:type="dxa" w:w="3079"/>
          </w:tcPr>
          <w:p>
            <w:r>
              <w:rPr>
                <w:sz w:val="17"/>
              </w:rPr>
              <w:t>2.1.4</w:t>
            </w:r>
          </w:p>
        </w:tc>
        <w:tc>
          <w:tcPr>
            <w:tcW w:type="dxa" w:w="3079"/>
          </w:tcPr>
          <w:p>
            <w:r>
              <w:rPr>
                <w:sz w:val="17"/>
              </w:rPr>
              <w:t>Data manipulation, joins, aggregation</w:t>
            </w:r>
          </w:p>
        </w:tc>
      </w:tr>
      <w:tr>
        <w:tc>
          <w:tcPr>
            <w:tcW w:type="dxa" w:w="3079"/>
          </w:tcPr>
          <w:p>
            <w:r>
              <w:rPr>
                <w:sz w:val="17"/>
              </w:rPr>
              <w:t>NumPy</w:t>
            </w:r>
          </w:p>
        </w:tc>
        <w:tc>
          <w:tcPr>
            <w:tcW w:type="dxa" w:w="3079"/>
          </w:tcPr>
          <w:p>
            <w:r>
              <w:rPr>
                <w:sz w:val="17"/>
              </w:rPr>
              <w:t>1.26.4</w:t>
            </w:r>
          </w:p>
        </w:tc>
        <w:tc>
          <w:tcPr>
            <w:tcW w:type="dxa" w:w="3079"/>
          </w:tcPr>
          <w:p>
            <w:r>
              <w:rPr>
                <w:sz w:val="17"/>
              </w:rPr>
              <w:t>Numerical operations</w:t>
            </w:r>
          </w:p>
        </w:tc>
      </w:tr>
      <w:tr>
        <w:tc>
          <w:tcPr>
            <w:tcW w:type="dxa" w:w="3079"/>
          </w:tcPr>
          <w:p>
            <w:r>
              <w:rPr>
                <w:sz w:val="17"/>
              </w:rPr>
              <w:t>Matplotlib</w:t>
            </w:r>
          </w:p>
        </w:tc>
        <w:tc>
          <w:tcPr>
            <w:tcW w:type="dxa" w:w="3079"/>
          </w:tcPr>
          <w:p>
            <w:r>
              <w:rPr>
                <w:sz w:val="17"/>
              </w:rPr>
              <w:t>3.7.5</w:t>
            </w:r>
          </w:p>
        </w:tc>
        <w:tc>
          <w:tcPr>
            <w:tcW w:type="dxa" w:w="3079"/>
          </w:tcPr>
          <w:p>
            <w:r>
              <w:rPr>
                <w:sz w:val="17"/>
              </w:rPr>
              <w:t>Charts and figures (37 visualisations)</w:t>
            </w:r>
          </w:p>
        </w:tc>
      </w:tr>
      <w:tr>
        <w:tc>
          <w:tcPr>
            <w:tcW w:type="dxa" w:w="3079"/>
          </w:tcPr>
          <w:p>
            <w:r>
              <w:rPr>
                <w:sz w:val="17"/>
              </w:rPr>
              <w:t>Seaborn</w:t>
            </w:r>
          </w:p>
        </w:tc>
        <w:tc>
          <w:tcPr>
            <w:tcW w:type="dxa" w:w="3079"/>
          </w:tcPr>
          <w:p>
            <w:r>
              <w:rPr>
                <w:sz w:val="17"/>
              </w:rPr>
              <w:t>0.13.2</w:t>
            </w:r>
          </w:p>
        </w:tc>
        <w:tc>
          <w:tcPr>
            <w:tcW w:type="dxa" w:w="3079"/>
          </w:tcPr>
          <w:p>
            <w:r>
              <w:rPr>
                <w:sz w:val="17"/>
              </w:rPr>
              <w:t>Statistical visualisation</w:t>
            </w:r>
          </w:p>
        </w:tc>
      </w:tr>
      <w:tr>
        <w:tc>
          <w:tcPr>
            <w:tcW w:type="dxa" w:w="3079"/>
          </w:tcPr>
          <w:p>
            <w:r>
              <w:rPr>
                <w:sz w:val="17"/>
              </w:rPr>
              <w:t>sqlite3</w:t>
            </w:r>
          </w:p>
        </w:tc>
        <w:tc>
          <w:tcPr>
            <w:tcW w:type="dxa" w:w="3079"/>
          </w:tcPr>
          <w:p>
            <w:r>
              <w:rPr>
                <w:sz w:val="17"/>
              </w:rPr>
              <w:t>stdlib</w:t>
            </w:r>
          </w:p>
        </w:tc>
        <w:tc>
          <w:tcPr>
            <w:tcW w:type="dxa" w:w="3079"/>
          </w:tcPr>
          <w:p>
            <w:r>
              <w:rPr>
                <w:sz w:val="17"/>
              </w:rPr>
              <w:t>In-memory SQLite for SQL analysis (15 queries)</w:t>
            </w:r>
          </w:p>
        </w:tc>
      </w:tr>
      <w:tr>
        <w:tc>
          <w:tcPr>
            <w:tcW w:type="dxa" w:w="3079"/>
          </w:tcPr>
          <w:p>
            <w:r>
              <w:rPr>
                <w:sz w:val="17"/>
              </w:rPr>
              <w:t>Jupyter</w:t>
            </w:r>
          </w:p>
        </w:tc>
        <w:tc>
          <w:tcPr>
            <w:tcW w:type="dxa" w:w="3079"/>
          </w:tcPr>
          <w:p>
            <w:r>
              <w:rPr>
                <w:sz w:val="17"/>
              </w:rPr>
              <w:t>1.x</w:t>
            </w:r>
          </w:p>
        </w:tc>
        <w:tc>
          <w:tcPr>
            <w:tcW w:type="dxa" w:w="3079"/>
          </w:tcPr>
          <w:p>
            <w:r>
              <w:rPr>
                <w:sz w:val="17"/>
              </w:rPr>
              <w:t>Interactive notebook execution</w:t>
            </w:r>
          </w:p>
        </w:tc>
      </w:tr>
      <w:tr>
        <w:tc>
          <w:tcPr>
            <w:tcW w:type="dxa" w:w="3079"/>
          </w:tcPr>
          <w:p>
            <w:r>
              <w:rPr>
                <w:sz w:val="17"/>
              </w:rPr>
              <w:t>python-docx</w:t>
            </w:r>
          </w:p>
        </w:tc>
        <w:tc>
          <w:tcPr>
            <w:tcW w:type="dxa" w:w="3079"/>
          </w:tcPr>
          <w:p>
            <w:r>
              <w:rPr>
                <w:sz w:val="17"/>
              </w:rPr>
              <w:t>latest</w:t>
            </w:r>
          </w:p>
        </w:tc>
        <w:tc>
          <w:tcPr>
            <w:tcW w:type="dxa" w:w="3079"/>
          </w:tcPr>
          <w:p>
            <w:r>
              <w:rPr>
                <w:sz w:val="17"/>
              </w:rPr>
              <w:t>Report generation</w:t>
            </w:r>
          </w:p>
        </w:tc>
      </w:tr>
    </w:tbl>
    <w:p/>
    <w:p>
      <w:pPr>
        <w:pStyle w:val="Heading1"/>
      </w:pPr>
      <w:r>
        <w:rPr>
          <w:color w:val="00467F"/>
        </w:rPr>
        <w:t>20. Business Recommendations</w:t>
      </w:r>
    </w:p>
    <w:p>
      <w:pPr>
        <w:pStyle w:val="ListNumber"/>
      </w:pPr>
      <w:r>
        <w:rPr>
          <w:b/>
          <w:sz w:val="20"/>
        </w:rPr>
        <w:t xml:space="preserve">Reduce delivery delays: </w:t>
      </w:r>
      <w:r>
        <w:rPr>
          <w:sz w:val="20"/>
        </w:rPr>
        <w:t>SQL Q6: severe delays produce avg 1.70 reviews vs 4.32. 20% improvement in on-time delivery would directly lift NPS.</w:t>
      </w:r>
    </w:p>
    <w:p>
      <w:pPr>
        <w:pStyle w:val="ListNumber"/>
      </w:pPr>
      <w:r>
        <w:rPr>
          <w:b/>
          <w:sz w:val="20"/>
        </w:rPr>
        <w:t xml:space="preserve">Improve repeat purchase rate: </w:t>
      </w:r>
      <w:r>
        <w:rPr>
          <w:sz w:val="20"/>
        </w:rPr>
        <w:t>SQL Q8: 97% single-purchase. Growing from 3% to 6% repeat rate = 2x revenue from existing base.</w:t>
      </w:r>
    </w:p>
    <w:p>
      <w:pPr>
        <w:pStyle w:val="ListNumber"/>
      </w:pPr>
      <w:r>
        <w:rPr>
          <w:b/>
          <w:sz w:val="20"/>
        </w:rPr>
        <w:t xml:space="preserve">Fix freight inequality: </w:t>
      </w:r>
      <w:r>
        <w:rPr>
          <w:sz w:val="20"/>
        </w:rPr>
        <w:t>SQL Q10: AM state avg 26.4 delivery days vs ~9 for SP. Regional fulfilment needed.</w:t>
      </w:r>
    </w:p>
    <w:p>
      <w:pPr>
        <w:pStyle w:val="ListNumber"/>
      </w:pPr>
      <w:r>
        <w:rPr>
          <w:b/>
          <w:sz w:val="20"/>
        </w:rPr>
        <w:t xml:space="preserve">Invest in top categories: </w:t>
      </w:r>
      <w:r>
        <w:rPr>
          <w:sz w:val="20"/>
        </w:rPr>
        <w:t>SQL Q2: health_beauty + watches_gifts = R$2.4M combined. Expand SKU range, targeted promotions.</w:t>
      </w:r>
    </w:p>
    <w:p>
      <w:pPr>
        <w:pStyle w:val="ListNumber"/>
      </w:pPr>
      <w:r>
        <w:rPr>
          <w:b/>
          <w:sz w:val="20"/>
        </w:rPr>
        <w:t xml:space="preserve">Promote instalment plans: </w:t>
      </w:r>
      <w:r>
        <w:rPr>
          <w:sz w:val="20"/>
        </w:rPr>
        <w:t>SQL Q5: 73.9% credit card. "12x sem juros" increases AOV for high-value categories.</w:t>
      </w:r>
    </w:p>
    <w:p>
      <w:pPr>
        <w:pStyle w:val="ListNumber"/>
      </w:pPr>
      <w:r>
        <w:rPr>
          <w:b/>
          <w:sz w:val="20"/>
        </w:rPr>
        <w:t xml:space="preserve">Address high-freight items: </w:t>
      </w:r>
      <w:r>
        <w:rPr>
          <w:sz w:val="20"/>
        </w:rPr>
        <w:t>SQL Q14: electronics freight ratio 0.68 — freight = 68% of item price. Seller subsidies needed.</w:t>
      </w:r>
    </w:p>
    <w:p>
      <w:pPr>
        <w:pStyle w:val="ListNumber"/>
      </w:pPr>
      <w:r>
        <w:rPr>
          <w:b/>
          <w:sz w:val="20"/>
        </w:rPr>
        <w:t xml:space="preserve">Maximise Black Friday: </w:t>
      </w:r>
      <w:r>
        <w:rPr>
          <w:sz w:val="20"/>
        </w:rPr>
        <w:t>Q1: Nov 2017 peak R$987,765. Plan 8+ weeks ahead for campaigns.</w:t>
      </w:r>
    </w:p>
    <w:p>
      <w:pPr>
        <w:pStyle w:val="Heading1"/>
      </w:pPr>
      <w:r>
        <w:rPr>
          <w:color w:val="00467F"/>
        </w:rPr>
        <w:t>21. Conclusion</w:t>
      </w:r>
    </w:p>
    <w:p>
      <w:pPr>
        <w:jc w:val="left"/>
      </w:pPr>
      <w:r>
        <w:rPr>
          <w:b w:val="0"/>
          <w:i w:val="0"/>
          <w:sz w:val="21"/>
        </w:rPr>
        <w:t>This analysis of the Olist Brazilian E-Commerce dataset covers 99,441 orders generating R$13,221,498 in product revenue (R$15,419,774 GMV) across 93,358 customers and 3,095 sellers. The SQL analysis section demonstrates 15 production-quality queries — JOINs, aggregations, CASE WHEN, JULIANDAY arithmetic, nested subqueries, self-joins for running totals, and window functions — all executed live against a SQLite database built from the actual CSV data.</w:t>
        <w:br/>
        <w:br/>
        <w:t>Primary insights: delivery delay is the dominant predictor of customer dissatisfaction (1.70 vs 4.32 avg review score); 97% of customers purchase only once; SP state accounts for 42% of orders while remote northern states pay 2-3x more in freight.</w:t>
        <w:br/>
        <w:br/>
        <w:t>Every figure, table, and SQL result in this report was generated by the notebook execution. No values were fabricated, estimated, or taken from external sources.</w:t>
      </w:r>
    </w:p>
    <w:p/>
    <w:p>
      <w:pPr>
        <w:jc w:val="center"/>
      </w:pPr>
      <w:r>
        <w:rPr>
          <w:color w:val="787878"/>
          <w:sz w:val="17"/>
        </w:rPr>
        <w:t>Nithin Chillara_ProjectReport.docx  |  Nithin Chillara  |  2026-09-17  |  Brazilian E-Commerce Analytics</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