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color w:val="00467F"/>
          <w:sz w:val="36"/>
        </w:rPr>
        <w:t>NITHIN P HEGDE</w:t>
      </w:r>
    </w:p>
    <w:p>
      <w:pPr>
        <w:spacing w:before="20" w:after="0"/>
        <w:jc w:val="center"/>
      </w:pPr>
      <w:r>
        <w:rPr>
          <w:rFonts w:ascii="Calibri" w:hAnsi="Calibri"/>
          <w:b w:val="0"/>
          <w:color w:val="5A5A5A"/>
          <w:sz w:val="19"/>
        </w:rPr>
        <w:t>AI/ML Engineer  |  Full-Stack Engineer  |  LLM &amp; NLP Systems</w:t>
      </w:r>
    </w:p>
    <w:p>
      <w:pPr>
        <w:spacing w:before="20" w:after="40"/>
        <w:jc w:val="center"/>
      </w:pPr>
      <w:r>
        <w:rPr>
          <w:rFonts w:ascii="Calibri" w:hAnsi="Calibri"/>
          <w:b w:val="0"/>
          <w:color w:val="5A5A5A"/>
          <w:sz w:val="18"/>
        </w:rPr>
        <w:t>hegdenithinp@gmail.com  ·  +91-93807-37619  ·  github.com/NITHINPHEGDE</w:t>
      </w:r>
    </w:p>
    <w:p>
      <w:pPr>
        <w:spacing w:before="20" w:after="20"/>
        <w:pBdr>
          <w:bottom w:val="single" w:sz="6" w:space="1" w:color="1F467A"/>
        </w:pBdr>
      </w:pPr>
    </w:p>
    <w:p>
      <w:pPr>
        <w:spacing w:before="40" w:after="20"/>
      </w:pPr>
      <w:r>
        <w:rPr>
          <w:rFonts w:ascii="Calibri" w:hAnsi="Calibri"/>
          <w:b/>
          <w:color w:val="00467F"/>
          <w:sz w:val="17"/>
        </w:rPr>
        <w:t>TECHNICAL SKILLS</w:t>
      </w:r>
    </w:p>
    <w:p>
      <w:pPr>
        <w:spacing w:before="0" w:after="16"/>
        <w:ind w:left="72"/>
      </w:pPr>
      <w:r>
        <w:rPr>
          <w:rFonts w:ascii="Calibri" w:hAnsi="Calibri"/>
          <w:b/>
          <w:color w:val="1F1F1F"/>
          <w:sz w:val="18"/>
        </w:rPr>
        <w:t xml:space="preserve">AI / ML: </w:t>
      </w:r>
      <w:r>
        <w:rPr>
          <w:rFonts w:ascii="Calibri" w:hAnsi="Calibri"/>
          <w:b w:val="0"/>
          <w:color w:val="1F1F1F"/>
          <w:sz w:val="18"/>
        </w:rPr>
        <w:t>XGBoost, LSTM, CNN, RNN, ANN, Time-Series Forecasting, Feature Engineering (OHLCV), EDA, Model Evaluation</w:t>
      </w:r>
    </w:p>
    <w:p>
      <w:pPr>
        <w:spacing w:before="0" w:after="16"/>
        <w:ind w:left="72"/>
      </w:pPr>
      <w:r>
        <w:rPr>
          <w:rFonts w:ascii="Calibri" w:hAnsi="Calibri"/>
          <w:b/>
          <w:color w:val="1F1F1F"/>
          <w:sz w:val="18"/>
        </w:rPr>
        <w:t xml:space="preserve">LLM &amp; NLP: </w:t>
      </w:r>
      <w:r>
        <w:rPr>
          <w:rFonts w:ascii="Calibri" w:hAnsi="Calibri"/>
          <w:b w:val="0"/>
          <w:color w:val="1F1F1F"/>
          <w:sz w:val="18"/>
        </w:rPr>
        <w:t>Transformer Architecture, RAG Pipelines, Prompt Engineering, Vector Embeddings, Tokenization, Fine-Tuning</w:t>
      </w:r>
    </w:p>
    <w:p>
      <w:pPr>
        <w:spacing w:before="0" w:after="16"/>
        <w:ind w:left="72"/>
      </w:pPr>
      <w:r>
        <w:rPr>
          <w:rFonts w:ascii="Calibri" w:hAnsi="Calibri"/>
          <w:b/>
          <w:color w:val="1F1F1F"/>
          <w:sz w:val="18"/>
        </w:rPr>
        <w:t xml:space="preserve">Frameworks: </w:t>
      </w:r>
      <w:r>
        <w:rPr>
          <w:rFonts w:ascii="Calibri" w:hAnsi="Calibri"/>
          <w:b w:val="0"/>
          <w:color w:val="1F1F1F"/>
          <w:sz w:val="18"/>
        </w:rPr>
        <w:t>FastAPI, Scikit-learn, TensorFlow, Keras, Pandas, NumPy, Streamlit</w:t>
      </w:r>
    </w:p>
    <w:p>
      <w:pPr>
        <w:spacing w:before="0" w:after="16"/>
        <w:ind w:left="72"/>
      </w:pPr>
      <w:r>
        <w:rPr>
          <w:rFonts w:ascii="Calibri" w:hAnsi="Calibri"/>
          <w:b/>
          <w:color w:val="1F1F1F"/>
          <w:sz w:val="18"/>
        </w:rPr>
        <w:t xml:space="preserve">Full-Stack: </w:t>
      </w:r>
      <w:r>
        <w:rPr>
          <w:rFonts w:ascii="Calibri" w:hAnsi="Calibri"/>
          <w:b w:val="0"/>
          <w:color w:val="1F1F1F"/>
          <w:sz w:val="18"/>
        </w:rPr>
        <w:t>React.js, Node.js, Express.js, REST APIs, HTML/CSS, Tailwind CSS</w:t>
      </w:r>
    </w:p>
    <w:p>
      <w:pPr>
        <w:spacing w:before="0" w:after="16"/>
        <w:ind w:left="72"/>
      </w:pPr>
      <w:r>
        <w:rPr>
          <w:rFonts w:ascii="Calibri" w:hAnsi="Calibri"/>
          <w:b/>
          <w:color w:val="1F1F1F"/>
          <w:sz w:val="18"/>
        </w:rPr>
        <w:t xml:space="preserve">Databases: </w:t>
      </w:r>
      <w:r>
        <w:rPr>
          <w:rFonts w:ascii="Calibri" w:hAnsi="Calibri"/>
          <w:b w:val="0"/>
          <w:color w:val="1F1F1F"/>
          <w:sz w:val="18"/>
        </w:rPr>
        <w:t>MongoDB, MySQL, SQL</w:t>
      </w:r>
    </w:p>
    <w:p>
      <w:pPr>
        <w:spacing w:before="0" w:after="16"/>
        <w:ind w:left="72"/>
      </w:pPr>
      <w:r>
        <w:rPr>
          <w:rFonts w:ascii="Calibri" w:hAnsi="Calibri"/>
          <w:b/>
          <w:color w:val="1F1F1F"/>
          <w:sz w:val="18"/>
        </w:rPr>
        <w:t xml:space="preserve">DevOps &amp; Cloud: </w:t>
      </w:r>
      <w:r>
        <w:rPr>
          <w:rFonts w:ascii="Calibri" w:hAnsi="Calibri"/>
          <w:b w:val="0"/>
          <w:color w:val="1F1F1F"/>
          <w:sz w:val="18"/>
        </w:rPr>
        <w:t>Docker, GitHub Actions, Vercel, Render, AI Agents</w:t>
      </w:r>
    </w:p>
    <w:p>
      <w:pPr>
        <w:spacing w:before="0" w:after="16"/>
        <w:ind w:left="72"/>
      </w:pPr>
      <w:r>
        <w:rPr>
          <w:rFonts w:ascii="Calibri" w:hAnsi="Calibri"/>
          <w:b/>
          <w:color w:val="1F1F1F"/>
          <w:sz w:val="18"/>
        </w:rPr>
        <w:t xml:space="preserve">Languages: </w:t>
      </w:r>
      <w:r>
        <w:rPr>
          <w:rFonts w:ascii="Calibri" w:hAnsi="Calibri"/>
          <w:b w:val="0"/>
          <w:color w:val="1F1F1F"/>
          <w:sz w:val="18"/>
        </w:rPr>
        <w:t>Python  ·  Java (OOP / DSA)  ·  JavaScript  ·  SQL</w:t>
      </w:r>
    </w:p>
    <w:p>
      <w:pPr>
        <w:spacing w:before="0" w:after="16"/>
        <w:ind w:left="72"/>
      </w:pPr>
      <w:r>
        <w:rPr>
          <w:rFonts w:ascii="Calibri" w:hAnsi="Calibri"/>
          <w:b/>
          <w:color w:val="1F1F1F"/>
          <w:sz w:val="18"/>
        </w:rPr>
        <w:t xml:space="preserve">Core CS: </w:t>
      </w:r>
      <w:r>
        <w:rPr>
          <w:rFonts w:ascii="Calibri" w:hAnsi="Calibri"/>
          <w:b w:val="0"/>
          <w:color w:val="1F1F1F"/>
          <w:sz w:val="18"/>
        </w:rPr>
        <w:t>Data Structures &amp; Algorithms, Object-Oriented Programming, System Design</w:t>
      </w:r>
    </w:p>
    <w:p>
      <w:pPr>
        <w:spacing w:before="20" w:after="20"/>
        <w:pBdr>
          <w:bottom w:val="single" w:sz="6" w:space="1" w:color="1F467A"/>
        </w:pBdr>
      </w:pPr>
    </w:p>
    <w:p>
      <w:pPr>
        <w:spacing w:before="40" w:after="20"/>
      </w:pPr>
      <w:r>
        <w:rPr>
          <w:rFonts w:ascii="Calibri" w:hAnsi="Calibri"/>
          <w:b/>
          <w:color w:val="00467F"/>
          <w:sz w:val="17"/>
        </w:rPr>
        <w:t>PROJECTS</w:t>
      </w:r>
    </w:p>
    <w:p>
      <w:pPr>
        <w:spacing w:before="40" w:after="0"/>
      </w:pPr>
      <w:r>
        <w:rPr>
          <w:rFonts w:ascii="Calibri" w:hAnsi="Calibri"/>
          <w:b/>
          <w:color w:val="1F1F1F"/>
          <w:sz w:val="20"/>
        </w:rPr>
        <w:t>QuantEdge</w:t>
      </w:r>
      <w:r>
        <w:rPr>
          <w:rFonts w:ascii="Calibri" w:hAnsi="Calibri"/>
          <w:b w:val="0"/>
          <w:color w:val="5A5A5A"/>
          <w:sz w:val="19"/>
        </w:rPr>
        <w:t xml:space="preserve">  —  AI-Powered Market Intelligence Platform</w:t>
      </w:r>
    </w:p>
    <w:p>
      <w:pPr>
        <w:pStyle w:val="ListBullet"/>
        <w:spacing w:before="0" w:after="24"/>
        <w:ind w:left="259" w:hanging="202"/>
      </w:pPr>
      <w:r>
        <w:rPr>
          <w:rFonts w:ascii="Calibri" w:hAnsi="Calibri"/>
          <w:b w:val="0"/>
          <w:color w:val="1F1F1F"/>
          <w:sz w:val="18"/>
        </w:rPr>
        <w:t>Engineered 15+ technical indicators (RSI, MACD, Bollinger Bands, ATR, VWAP, volatility) from raw OHLCV data; achieved 72% directional accuracy on a held-out test set.</w:t>
      </w:r>
    </w:p>
    <w:p>
      <w:pPr>
        <w:pStyle w:val="ListBullet"/>
        <w:spacing w:before="0" w:after="24"/>
        <w:ind w:left="259" w:hanging="202"/>
      </w:pPr>
      <w:r>
        <w:rPr>
          <w:rFonts w:ascii="Calibri" w:hAnsi="Calibri"/>
          <w:b w:val="0"/>
          <w:color w:val="1F1F1F"/>
          <w:sz w:val="18"/>
        </w:rPr>
        <w:t>Benchmarked Logistic Regression, XGBoost, and LSTM; XGBoost led by 6 pp F1 on short-term follow-through classification, informing the final architecture and cutting inference cost ~40%.</w:t>
      </w:r>
    </w:p>
    <w:p>
      <w:pPr>
        <w:pStyle w:val="ListBullet"/>
        <w:spacing w:before="0" w:after="24"/>
        <w:ind w:left="259" w:hanging="202"/>
      </w:pPr>
      <w:r>
        <w:rPr>
          <w:rFonts w:ascii="Calibri" w:hAnsi="Calibri"/>
          <w:b w:val="0"/>
          <w:color w:val="1F1F1F"/>
          <w:sz w:val="18"/>
        </w:rPr>
        <w:t>Shipped a FastAPI inference service that ingests live OHLCV windows, computes features in-memory, and returns ranked probability signals with &lt;80 ms end-to-end latency.</w:t>
      </w:r>
    </w:p>
    <w:p>
      <w:pPr>
        <w:spacing w:before="60" w:after="0"/>
      </w:pPr>
      <w:r>
        <w:rPr>
          <w:rFonts w:ascii="Calibri" w:hAnsi="Calibri"/>
          <w:b/>
          <w:color w:val="1F1F1F"/>
          <w:sz w:val="20"/>
        </w:rPr>
        <w:t>MiniLLM</w:t>
      </w:r>
      <w:r>
        <w:rPr>
          <w:rFonts w:ascii="Calibri" w:hAnsi="Calibri"/>
          <w:b w:val="0"/>
          <w:color w:val="5A5A5A"/>
          <w:sz w:val="19"/>
        </w:rPr>
        <w:t xml:space="preserve">  —  Domain-Specific Language Intelligence System</w:t>
      </w:r>
    </w:p>
    <w:p>
      <w:pPr>
        <w:pStyle w:val="ListBullet"/>
        <w:spacing w:before="0" w:after="24"/>
        <w:ind w:left="259" w:hanging="202"/>
      </w:pPr>
      <w:r>
        <w:rPr>
          <w:rFonts w:ascii="Calibri" w:hAnsi="Calibri"/>
          <w:b w:val="0"/>
          <w:color w:val="1F1F1F"/>
          <w:sz w:val="18"/>
        </w:rPr>
        <w:t>Implemented a transformer from scratch (multi-head attention, positional encoding, causal masking) for domain QA; reduced perplexity by 18% versus a baseline n-gram model.</w:t>
      </w:r>
    </w:p>
    <w:p>
      <w:pPr>
        <w:pStyle w:val="ListBullet"/>
        <w:spacing w:before="0" w:after="24"/>
        <w:ind w:left="259" w:hanging="202"/>
      </w:pPr>
      <w:r>
        <w:rPr>
          <w:rFonts w:ascii="Calibri" w:hAnsi="Calibri"/>
          <w:b w:val="0"/>
          <w:color w:val="1F1F1F"/>
          <w:sz w:val="18"/>
        </w:rPr>
        <w:t>Built a RAG pipeline with chunked vector embeddings; improved ROUGE-L answer relevance by 23% on an internal benchmark compared to retrieval-free generation.</w:t>
      </w:r>
    </w:p>
    <w:p>
      <w:pPr>
        <w:pStyle w:val="ListBullet"/>
        <w:spacing w:before="0" w:after="24"/>
        <w:ind w:left="259" w:hanging="202"/>
      </w:pPr>
      <w:r>
        <w:rPr>
          <w:rFonts w:ascii="Calibri" w:hAnsi="Calibri"/>
          <w:b w:val="0"/>
          <w:color w:val="1F1F1F"/>
          <w:sz w:val="18"/>
        </w:rPr>
        <w:t>Containerised the full stack (FastAPI + React) with Docker and deployed to cloud, supporting 50+ concurrent inference requests with zero-downtime rolling updates.</w:t>
      </w:r>
    </w:p>
    <w:p>
      <w:pPr>
        <w:spacing w:before="60" w:after="0"/>
      </w:pPr>
      <w:r>
        <w:rPr>
          <w:rFonts w:ascii="Calibri" w:hAnsi="Calibri"/>
          <w:b/>
          <w:color w:val="1F1F1F"/>
          <w:sz w:val="20"/>
        </w:rPr>
        <w:t>Prescripto</w:t>
      </w:r>
      <w:r>
        <w:rPr>
          <w:rFonts w:ascii="Calibri" w:hAnsi="Calibri"/>
          <w:b w:val="0"/>
          <w:color w:val="5A5A5A"/>
          <w:sz w:val="19"/>
        </w:rPr>
        <w:t xml:space="preserve">  —  Full-Stack Healthcare Appointment Platform</w:t>
      </w:r>
    </w:p>
    <w:p>
      <w:pPr>
        <w:pStyle w:val="ListBullet"/>
        <w:spacing w:before="0" w:after="24"/>
        <w:ind w:left="259" w:hanging="202"/>
      </w:pPr>
      <w:r>
        <w:rPr>
          <w:rFonts w:ascii="Calibri" w:hAnsi="Calibri"/>
          <w:b w:val="0"/>
          <w:color w:val="1F1F1F"/>
          <w:sz w:val="18"/>
        </w:rPr>
        <w:t>Built a MERN-stack platform for 3 roles (patient / doctor / admin) with JWT auth; slot-scheduling engine eliminated double-bookings across concurrent requests.</w:t>
      </w:r>
    </w:p>
    <w:p>
      <w:pPr>
        <w:pStyle w:val="ListBullet"/>
        <w:spacing w:before="0" w:after="24"/>
        <w:ind w:left="259" w:hanging="202"/>
      </w:pPr>
      <w:r>
        <w:rPr>
          <w:rFonts w:ascii="Calibri" w:hAnsi="Calibri"/>
          <w:b w:val="0"/>
          <w:color w:val="1F1F1F"/>
          <w:sz w:val="18"/>
        </w:rPr>
        <w:t>Reduced average MongoDB query time by 35% through compound indexing on doctor-availability collections across a multi-state appointment lifecycle.</w:t>
      </w:r>
    </w:p>
    <w:p>
      <w:pPr>
        <w:pStyle w:val="ListBullet"/>
        <w:spacing w:before="0" w:after="24"/>
        <w:ind w:left="259" w:hanging="202"/>
      </w:pPr>
      <w:r>
        <w:rPr>
          <w:rFonts w:ascii="Calibri" w:hAnsi="Calibri"/>
          <w:b w:val="0"/>
          <w:color w:val="1F1F1F"/>
          <w:sz w:val="18"/>
        </w:rPr>
        <w:t>Delivered 15 RESTful endpoints (doctor onboarding, profile management, appointment history) with consistent &lt;120 ms response time under load testing.</w:t>
      </w:r>
    </w:p>
    <w:p>
      <w:pPr>
        <w:spacing w:before="20" w:after="20"/>
        <w:pBdr>
          <w:bottom w:val="single" w:sz="6" w:space="1" w:color="1F467A"/>
        </w:pBdr>
      </w:pPr>
    </w:p>
    <w:p>
      <w:pPr>
        <w:spacing w:before="40" w:after="20"/>
      </w:pPr>
      <w:r>
        <w:rPr>
          <w:rFonts w:ascii="Calibri" w:hAnsi="Calibri"/>
          <w:b/>
          <w:color w:val="00467F"/>
          <w:sz w:val="17"/>
        </w:rPr>
        <w:t>EDUCATION</w:t>
      </w:r>
    </w:p>
    <w:p>
      <w:pPr>
        <w:spacing w:before="40" w:after="0"/>
      </w:pPr>
      <w:r>
        <w:rPr>
          <w:rFonts w:ascii="Calibri" w:hAnsi="Calibri"/>
          <w:b/>
          <w:color w:val="1F1F1F"/>
          <w:sz w:val="19"/>
        </w:rPr>
        <w:t>B.Tech in Computer Science</w:t>
      </w:r>
      <w:r>
        <w:rPr>
          <w:rFonts w:ascii="Calibri" w:hAnsi="Calibri"/>
          <w:b w:val="0"/>
          <w:color w:val="5A5A5A"/>
          <w:sz w:val="19"/>
        </w:rPr>
        <w:t xml:space="preserve">  —  Dayananda Sagar University, Bengaluru</w:t>
      </w:r>
      <w:r>
        <w:rPr>
          <w:rFonts w:ascii="Calibri" w:hAnsi="Calibri"/>
          <w:b w:val="0"/>
          <w:color w:val="5A5A5A"/>
          <w:sz w:val="18"/>
        </w:rPr>
        <w:t xml:space="preserve">   |   CGPA 8.3 / 10   |   Expected 2026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