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FD312" w14:textId="5ED852CC" w:rsidR="00D913CA" w:rsidRPr="0060058E" w:rsidRDefault="00832F90" w:rsidP="0060058E">
      <w:pPr>
        <w:jc w:val="center"/>
        <w:rPr>
          <w:b/>
          <w:bCs/>
          <w:sz w:val="28"/>
          <w:szCs w:val="28"/>
          <w:u w:val="single"/>
        </w:rPr>
      </w:pPr>
      <w:r w:rsidRPr="0060058E">
        <w:rPr>
          <w:b/>
          <w:bCs/>
          <w:sz w:val="28"/>
          <w:szCs w:val="28"/>
          <w:u w:val="single"/>
        </w:rPr>
        <w:t>Effects of harvesting on catchment concentrations</w:t>
      </w:r>
    </w:p>
    <w:p w14:paraId="486EE39A" w14:textId="77777777" w:rsidR="00832F90" w:rsidRDefault="00832F90"/>
    <w:p w14:paraId="65AB8916" w14:textId="674A3E76" w:rsidR="00832F90" w:rsidRPr="007D1A04" w:rsidRDefault="007D1A04" w:rsidP="007D1A04">
      <w:pPr>
        <w:rPr>
          <w:b/>
          <w:bCs/>
          <w:u w:val="single"/>
        </w:rPr>
      </w:pPr>
      <w:r w:rsidRPr="007D1A04">
        <w:rPr>
          <w:b/>
          <w:bCs/>
          <w:u w:val="single"/>
        </w:rPr>
        <w:t>1.</w:t>
      </w:r>
      <w:r>
        <w:rPr>
          <w:b/>
          <w:bCs/>
          <w:u w:val="single"/>
        </w:rPr>
        <w:t xml:space="preserve"> </w:t>
      </w:r>
      <w:r w:rsidR="00832F90" w:rsidRPr="007D1A04">
        <w:rPr>
          <w:b/>
          <w:bCs/>
          <w:u w:val="single"/>
        </w:rPr>
        <w:t>Single catchment, before/after study</w:t>
      </w:r>
    </w:p>
    <w:p w14:paraId="1B13E4E5" w14:textId="77777777" w:rsidR="00832F90" w:rsidRDefault="00832F90"/>
    <w:p w14:paraId="08933272" w14:textId="50C335D6" w:rsidR="00832F90" w:rsidRDefault="0060058E" w:rsidP="0060058E">
      <w:pPr>
        <w:jc w:val="center"/>
      </w:pPr>
      <w:r>
        <w:rPr>
          <w:noProof/>
        </w:rPr>
        <w:drawing>
          <wp:inline distT="0" distB="0" distL="0" distR="0" wp14:anchorId="6BF53A97" wp14:editId="30BFA7A5">
            <wp:extent cx="4743450" cy="2826352"/>
            <wp:effectExtent l="0" t="0" r="0" b="0"/>
            <wp:docPr id="980191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91045" name="Picture 9801910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080" cy="283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47E0" w14:textId="77777777" w:rsidR="0060058E" w:rsidRDefault="0060058E" w:rsidP="0060058E">
      <w:pPr>
        <w:jc w:val="center"/>
      </w:pPr>
    </w:p>
    <w:p w14:paraId="74D33CA7" w14:textId="63249C77" w:rsidR="0060058E" w:rsidRDefault="0060058E" w:rsidP="0060058E">
      <w:pPr>
        <w:jc w:val="both"/>
        <w:rPr>
          <w:rFonts w:eastAsiaTheme="minorEastAsia"/>
        </w:rPr>
      </w:pPr>
      <w:r>
        <w:t xml:space="preserve">The catchment has an area of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km</w:t>
      </w:r>
      <w:r w:rsidRPr="0060058E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. </w:t>
      </w:r>
      <w:r>
        <w:t xml:space="preserve">Before harvesting, we assume the forest has an approximately natural mean runoff concentration of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mg/l and the annual runoff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mm. A proportion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of the catchment is then harvested (where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is a dimensionless number between 0 and 1). The mean concentration in runoff from the harvested area changes to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mg/l, while concentrations from the unharvested portion remain the same as before. The runoff in the year after harvesting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mm. Before harvesting, the flux and mean concentration measured at the catchment outflow are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  <w:r w:rsidR="00CA7A3C">
        <w:rPr>
          <w:rFonts w:eastAsiaTheme="minorEastAsia"/>
        </w:rPr>
        <w:t xml:space="preserve">kg </w:t>
      </w: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A7A3C">
        <w:rPr>
          <w:rFonts w:eastAsiaTheme="minorEastAsia"/>
        </w:rPr>
        <w:t xml:space="preserve"> mg/l</w:t>
      </w:r>
      <w:r>
        <w:rPr>
          <w:rFonts w:eastAsiaTheme="minorEastAsia"/>
        </w:rPr>
        <w:t>, respectively. After harvesting</w:t>
      </w:r>
      <w:r w:rsidR="00CA7A3C">
        <w:rPr>
          <w:rFonts w:eastAsiaTheme="minorEastAsia"/>
        </w:rPr>
        <w:t xml:space="preserve">, these change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A7A3C">
        <w:rPr>
          <w:rFonts w:eastAsiaTheme="minorEastAsia"/>
        </w:rPr>
        <w:t xml:space="preserve"> kg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A7A3C">
        <w:rPr>
          <w:rFonts w:eastAsiaTheme="minorEastAsia"/>
        </w:rPr>
        <w:t xml:space="preserve"> mg/l.</w:t>
      </w:r>
    </w:p>
    <w:p w14:paraId="46FCA8FE" w14:textId="77777777" w:rsidR="00CA7A3C" w:rsidRDefault="00CA7A3C" w:rsidP="0060058E">
      <w:pPr>
        <w:jc w:val="both"/>
        <w:rPr>
          <w:rFonts w:eastAsiaTheme="minorEastAsia"/>
        </w:rPr>
      </w:pPr>
    </w:p>
    <w:p w14:paraId="2A96D2F9" w14:textId="3577F46C" w:rsidR="00CA7A3C" w:rsidRDefault="00CA7A3C" w:rsidP="0060058E">
      <w:pPr>
        <w:jc w:val="both"/>
        <w:rPr>
          <w:rFonts w:eastAsiaTheme="minorEastAsia"/>
        </w:rPr>
      </w:pPr>
      <w:r>
        <w:rPr>
          <w:rFonts w:eastAsiaTheme="minorEastAsia"/>
        </w:rPr>
        <w:t>Before harvesting:</w:t>
      </w:r>
    </w:p>
    <w:p w14:paraId="5B38D895" w14:textId="77777777" w:rsidR="00CA7A3C" w:rsidRDefault="00CA7A3C" w:rsidP="0060058E">
      <w:pPr>
        <w:jc w:val="both"/>
        <w:rPr>
          <w:rFonts w:eastAsiaTheme="minorEastAsia"/>
        </w:rPr>
      </w:pPr>
    </w:p>
    <w:p w14:paraId="171F7186" w14:textId="48549395" w:rsidR="00CA7A3C" w:rsidRDefault="00CA7A3C" w:rsidP="00CA7A3C">
      <w:pPr>
        <w:ind w:left="720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[1]</w:t>
      </w:r>
    </w:p>
    <w:p w14:paraId="757EFDE1" w14:textId="77777777" w:rsidR="00CA7A3C" w:rsidRDefault="00CA7A3C" w:rsidP="00CA7A3C">
      <w:pPr>
        <w:ind w:left="720"/>
        <w:jc w:val="both"/>
        <w:rPr>
          <w:rFonts w:eastAsiaTheme="minorEastAsia"/>
        </w:rPr>
      </w:pPr>
    </w:p>
    <w:p w14:paraId="1A2C8A9B" w14:textId="3C6D4DF5" w:rsidR="00CA7A3C" w:rsidRPr="00CA7A3C" w:rsidRDefault="00CA7A3C" w:rsidP="00CA7A3C">
      <w:pPr>
        <w:ind w:left="720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=n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[2]</w:t>
      </w:r>
    </w:p>
    <w:p w14:paraId="6B76C4BE" w14:textId="77777777" w:rsidR="00CA7A3C" w:rsidRDefault="00CA7A3C" w:rsidP="0060058E">
      <w:pPr>
        <w:jc w:val="both"/>
        <w:rPr>
          <w:rFonts w:eastAsiaTheme="minorEastAsia"/>
        </w:rPr>
      </w:pPr>
    </w:p>
    <w:p w14:paraId="6A920D17" w14:textId="17B68A76" w:rsidR="00CA7A3C" w:rsidRDefault="00CA7A3C" w:rsidP="0060058E">
      <w:pPr>
        <w:jc w:val="both"/>
        <w:rPr>
          <w:rFonts w:eastAsiaTheme="minorEastAsia"/>
        </w:rPr>
      </w:pPr>
      <w:r>
        <w:rPr>
          <w:rFonts w:eastAsiaTheme="minorEastAsia"/>
        </w:rPr>
        <w:t>After harvesting:</w:t>
      </w:r>
    </w:p>
    <w:p w14:paraId="2D21E2B3" w14:textId="77777777" w:rsidR="00CA7A3C" w:rsidRDefault="00CA7A3C" w:rsidP="0060058E">
      <w:pPr>
        <w:jc w:val="both"/>
        <w:rPr>
          <w:rFonts w:eastAsiaTheme="minorEastAsia"/>
        </w:rPr>
      </w:pPr>
    </w:p>
    <w:p w14:paraId="697513C8" w14:textId="35D31583" w:rsidR="00CA7A3C" w:rsidRDefault="00CA7A3C" w:rsidP="0060058E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=pA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h+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1-p</m:t>
            </m:r>
          </m:e>
        </m:d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[3]</w:t>
      </w:r>
    </w:p>
    <w:p w14:paraId="099F99B6" w14:textId="77777777" w:rsidR="00CA7A3C" w:rsidRDefault="00CA7A3C" w:rsidP="0060058E">
      <w:pPr>
        <w:jc w:val="both"/>
        <w:rPr>
          <w:rFonts w:eastAsiaTheme="minorEastAsia"/>
        </w:rPr>
      </w:pPr>
    </w:p>
    <w:p w14:paraId="6EC6C734" w14:textId="5DEF70BB" w:rsidR="00CA7A3C" w:rsidRDefault="00CA7A3C" w:rsidP="0060058E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h+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1-p</m:t>
                </m:r>
              </m:e>
            </m:d>
            <m:r>
              <w:rPr>
                <w:rFonts w:ascii="Cambria Math" w:eastAsiaTheme="minorEastAsia" w:hAnsi="Cambria Math"/>
              </w:rPr>
              <m:t>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=ph+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1-p</m:t>
            </m:r>
          </m:e>
        </m:d>
        <m:r>
          <w:rPr>
            <w:rFonts w:ascii="Cambria Math" w:eastAsiaTheme="minorEastAsia" w:hAnsi="Cambria Math"/>
          </w:rPr>
          <m:t>n=ph+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1-p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[4]</w:t>
      </w:r>
    </w:p>
    <w:p w14:paraId="790F9A5A" w14:textId="77777777" w:rsidR="00CA7A3C" w:rsidRDefault="00CA7A3C" w:rsidP="0060058E">
      <w:pPr>
        <w:jc w:val="both"/>
        <w:rPr>
          <w:rFonts w:eastAsiaTheme="minorEastAsia"/>
        </w:rPr>
      </w:pPr>
    </w:p>
    <w:p w14:paraId="57BE3B08" w14:textId="07921716" w:rsidR="00CA7A3C" w:rsidRDefault="00CA7A3C" w:rsidP="0060058E">
      <w:pPr>
        <w:jc w:val="both"/>
        <w:rPr>
          <w:rFonts w:eastAsiaTheme="minorEastAsia"/>
        </w:rPr>
      </w:pPr>
      <w:r>
        <w:rPr>
          <w:rFonts w:eastAsiaTheme="minorEastAsia"/>
        </w:rPr>
        <w:t>Rearranging [4]:</w:t>
      </w:r>
    </w:p>
    <w:p w14:paraId="46D90F5C" w14:textId="77777777" w:rsidR="00CA7A3C" w:rsidRDefault="00CA7A3C" w:rsidP="0060058E">
      <w:pPr>
        <w:jc w:val="both"/>
        <w:rPr>
          <w:rFonts w:eastAsiaTheme="minorEastAsia"/>
        </w:rPr>
      </w:pPr>
    </w:p>
    <w:p w14:paraId="782B48E2" w14:textId="62A10CE3" w:rsidR="00CA7A3C" w:rsidRDefault="00CA7A3C" w:rsidP="0060058E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h=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1-p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 w:rsidR="00BC5A71">
        <w:rPr>
          <w:rFonts w:eastAsiaTheme="minorEastAsia"/>
        </w:rPr>
        <w:tab/>
      </w:r>
      <w:r w:rsidR="00BC5A71">
        <w:rPr>
          <w:rFonts w:eastAsiaTheme="minorEastAsia"/>
        </w:rPr>
        <w:tab/>
      </w:r>
      <w:r w:rsidR="00BC5A71">
        <w:rPr>
          <w:rFonts w:eastAsiaTheme="minorEastAsia"/>
        </w:rPr>
        <w:tab/>
      </w:r>
      <w:r w:rsidR="00BC5A71">
        <w:rPr>
          <w:rFonts w:eastAsiaTheme="minorEastAsia"/>
        </w:rPr>
        <w:tab/>
      </w:r>
      <w:r w:rsidR="00BC5A71">
        <w:rPr>
          <w:rFonts w:eastAsiaTheme="minorEastAsia"/>
        </w:rPr>
        <w:tab/>
      </w:r>
      <w:r w:rsidR="00BC5A71">
        <w:rPr>
          <w:rFonts w:eastAsiaTheme="minorEastAsia"/>
        </w:rPr>
        <w:tab/>
      </w:r>
      <w:r w:rsidR="00BC5A71">
        <w:rPr>
          <w:rFonts w:eastAsiaTheme="minorEastAsia"/>
        </w:rPr>
        <w:tab/>
      </w:r>
      <w:r w:rsidR="00BC5A71">
        <w:rPr>
          <w:rFonts w:eastAsiaTheme="minorEastAsia"/>
        </w:rPr>
        <w:tab/>
      </w:r>
      <w:r w:rsidR="00BC5A71">
        <w:rPr>
          <w:rFonts w:eastAsiaTheme="minorEastAsia"/>
        </w:rPr>
        <w:tab/>
      </w:r>
      <w:r w:rsidR="00BC5A71">
        <w:rPr>
          <w:rFonts w:eastAsiaTheme="minorEastAsia"/>
        </w:rPr>
        <w:tab/>
        <w:t>[5]</w:t>
      </w:r>
    </w:p>
    <w:p w14:paraId="3ACE4527" w14:textId="77777777" w:rsidR="00BC5A71" w:rsidRDefault="00BC5A71" w:rsidP="0060058E">
      <w:pPr>
        <w:jc w:val="both"/>
        <w:rPr>
          <w:rFonts w:eastAsiaTheme="minorEastAsia"/>
        </w:rPr>
      </w:pPr>
    </w:p>
    <w:p w14:paraId="196A61F1" w14:textId="19A94163" w:rsidR="007D1A04" w:rsidRDefault="007D1A04" w:rsidP="0060058E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Some studies in the literature report the change factor,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, of before and after concentrations measured at the catchment outflow:</w:t>
      </w:r>
    </w:p>
    <w:p w14:paraId="0E1E7A6B" w14:textId="77777777" w:rsidR="007D1A04" w:rsidRDefault="007D1A04" w:rsidP="0060058E">
      <w:pPr>
        <w:jc w:val="both"/>
        <w:rPr>
          <w:rFonts w:eastAsiaTheme="minorEastAsia"/>
        </w:rPr>
      </w:pPr>
    </w:p>
    <w:p w14:paraId="010ACCE1" w14:textId="0268799D" w:rsidR="007D1A04" w:rsidRDefault="007D1A04" w:rsidP="007D1A04">
      <w:pPr>
        <w:ind w:left="72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[6]</w:t>
      </w:r>
    </w:p>
    <w:p w14:paraId="23A64D40" w14:textId="77777777" w:rsidR="007D1A04" w:rsidRDefault="007D1A04" w:rsidP="007D1A04">
      <w:pPr>
        <w:ind w:left="720"/>
        <w:jc w:val="both"/>
        <w:rPr>
          <w:rFonts w:eastAsiaTheme="minorEastAsia"/>
        </w:rPr>
      </w:pPr>
    </w:p>
    <w:p w14:paraId="024FA5E5" w14:textId="77777777" w:rsidR="007D1A04" w:rsidRDefault="007D1A04" w:rsidP="0060058E">
      <w:pPr>
        <w:jc w:val="both"/>
        <w:rPr>
          <w:rFonts w:eastAsiaTheme="minorEastAsia"/>
        </w:rPr>
      </w:pPr>
      <w:r>
        <w:rPr>
          <w:rFonts w:eastAsiaTheme="minorEastAsia"/>
        </w:rPr>
        <w:t>Substituting this into equation [5] gives:</w:t>
      </w:r>
    </w:p>
    <w:p w14:paraId="7C890104" w14:textId="77777777" w:rsidR="009D479E" w:rsidRDefault="009D479E" w:rsidP="0060058E">
      <w:pPr>
        <w:jc w:val="both"/>
        <w:rPr>
          <w:rFonts w:eastAsiaTheme="minorEastAsia"/>
        </w:rPr>
      </w:pPr>
    </w:p>
    <w:p w14:paraId="1EAB6D56" w14:textId="4E1D3083" w:rsidR="009D479E" w:rsidRDefault="009D479E" w:rsidP="009D479E">
      <w:pPr>
        <w:ind w:left="72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h=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(f+p-1)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[7]</w:t>
      </w:r>
    </w:p>
    <w:p w14:paraId="2D85BA4C" w14:textId="77777777" w:rsidR="007D1A04" w:rsidRDefault="007D1A04" w:rsidP="0060058E">
      <w:pPr>
        <w:jc w:val="both"/>
        <w:rPr>
          <w:rFonts w:eastAsiaTheme="minorEastAsia"/>
        </w:rPr>
      </w:pPr>
    </w:p>
    <w:p w14:paraId="2451B61F" w14:textId="40E0FFCB" w:rsidR="00BC5A71" w:rsidRDefault="00BC5A71" w:rsidP="0060058E">
      <w:pPr>
        <w:jc w:val="both"/>
        <w:rPr>
          <w:rFonts w:eastAsiaTheme="minorEastAsia"/>
        </w:rPr>
      </w:pPr>
      <w:r>
        <w:rPr>
          <w:rFonts w:eastAsiaTheme="minorEastAsia"/>
        </w:rPr>
        <w:t>Equation</w:t>
      </w:r>
      <w:r w:rsidR="007D1A04">
        <w:rPr>
          <w:rFonts w:eastAsiaTheme="minorEastAsia"/>
        </w:rPr>
        <w:t>s</w:t>
      </w:r>
      <w:r>
        <w:rPr>
          <w:rFonts w:eastAsiaTheme="minorEastAsia"/>
        </w:rPr>
        <w:t xml:space="preserve"> [</w:t>
      </w:r>
      <w:r w:rsidR="007D1A04">
        <w:rPr>
          <w:rFonts w:eastAsiaTheme="minorEastAsia"/>
        </w:rPr>
        <w:t>5</w:t>
      </w:r>
      <w:r>
        <w:rPr>
          <w:rFonts w:eastAsiaTheme="minorEastAsia"/>
        </w:rPr>
        <w:t>]</w:t>
      </w:r>
      <w:r w:rsidR="007D1A04">
        <w:rPr>
          <w:rFonts w:eastAsiaTheme="minorEastAsia"/>
        </w:rPr>
        <w:t xml:space="preserve"> and [7]</w:t>
      </w:r>
      <w:r>
        <w:rPr>
          <w:rFonts w:eastAsiaTheme="minorEastAsia"/>
        </w:rPr>
        <w:t xml:space="preserve"> </w:t>
      </w:r>
      <w:r w:rsidR="009D479E">
        <w:rPr>
          <w:rFonts w:eastAsiaTheme="minorEastAsia"/>
        </w:rPr>
        <w:t>make it possible to estimate</w:t>
      </w:r>
      <w:r>
        <w:rPr>
          <w:rFonts w:eastAsiaTheme="minorEastAsia"/>
        </w:rPr>
        <w:t xml:space="preserve"> typical runoff concentration from harvested forest using only </w:t>
      </w:r>
      <w:r w:rsidR="009D479E">
        <w:rPr>
          <w:rFonts w:eastAsiaTheme="minorEastAsia"/>
        </w:rPr>
        <w:t>basic information describing (</w:t>
      </w:r>
      <w:proofErr w:type="spellStart"/>
      <w:r w:rsidR="009D479E">
        <w:rPr>
          <w:rFonts w:eastAsiaTheme="minorEastAsia"/>
        </w:rPr>
        <w:t>i</w:t>
      </w:r>
      <w:proofErr w:type="spellEnd"/>
      <w:r w:rsidR="009D479E">
        <w:rPr>
          <w:rFonts w:eastAsiaTheme="minorEastAsia"/>
        </w:rPr>
        <w:t xml:space="preserve">) </w:t>
      </w:r>
      <w:r>
        <w:rPr>
          <w:rFonts w:eastAsiaTheme="minorEastAsia"/>
        </w:rPr>
        <w:t>before and after concentration</w:t>
      </w:r>
      <w:r w:rsidR="007D1A04">
        <w:rPr>
          <w:rFonts w:eastAsiaTheme="minorEastAsia"/>
        </w:rPr>
        <w:t>s</w:t>
      </w:r>
      <w:r>
        <w:rPr>
          <w:rFonts w:eastAsiaTheme="minorEastAsia"/>
        </w:rPr>
        <w:t xml:space="preserve"> measured at the catchment outflow, </w:t>
      </w:r>
      <w:r w:rsidR="009D479E">
        <w:rPr>
          <w:rFonts w:eastAsiaTheme="minorEastAsia"/>
        </w:rPr>
        <w:t>and (ii) the</w:t>
      </w:r>
      <w:r>
        <w:rPr>
          <w:rFonts w:eastAsiaTheme="minorEastAsia"/>
        </w:rPr>
        <w:t xml:space="preserve"> </w:t>
      </w:r>
      <w:r w:rsidR="007D1A04">
        <w:rPr>
          <w:rFonts w:eastAsiaTheme="minorEastAsia"/>
        </w:rPr>
        <w:t>proportion of the area harvested.</w:t>
      </w:r>
    </w:p>
    <w:p w14:paraId="54294060" w14:textId="77777777" w:rsidR="007D1A04" w:rsidRDefault="007D1A04" w:rsidP="0060058E">
      <w:pPr>
        <w:jc w:val="both"/>
        <w:rPr>
          <w:rFonts w:eastAsiaTheme="minorEastAsia"/>
        </w:rPr>
      </w:pPr>
    </w:p>
    <w:p w14:paraId="46A40C26" w14:textId="07084F65" w:rsidR="007D1A04" w:rsidRDefault="00EE7EC5" w:rsidP="0060058E">
      <w:pPr>
        <w:jc w:val="both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 xml:space="preserve">2. </w:t>
      </w:r>
      <w:r w:rsidR="007D1A04" w:rsidRPr="007D1A04">
        <w:rPr>
          <w:rFonts w:eastAsiaTheme="minorEastAsia"/>
          <w:b/>
          <w:bCs/>
          <w:u w:val="single"/>
        </w:rPr>
        <w:t>Paired catchments, before</w:t>
      </w:r>
      <w:r w:rsidR="007D1A04">
        <w:rPr>
          <w:rFonts w:eastAsiaTheme="minorEastAsia"/>
          <w:b/>
          <w:bCs/>
          <w:u w:val="single"/>
        </w:rPr>
        <w:t>/</w:t>
      </w:r>
      <w:r w:rsidR="007D1A04" w:rsidRPr="007D1A04">
        <w:rPr>
          <w:rFonts w:eastAsiaTheme="minorEastAsia"/>
          <w:b/>
          <w:bCs/>
          <w:u w:val="single"/>
        </w:rPr>
        <w:t>after study</w:t>
      </w:r>
    </w:p>
    <w:p w14:paraId="18EC55CE" w14:textId="77777777" w:rsidR="007D1A04" w:rsidRDefault="007D1A04" w:rsidP="0060058E">
      <w:pPr>
        <w:jc w:val="both"/>
        <w:rPr>
          <w:rFonts w:eastAsiaTheme="minorEastAsia"/>
          <w:b/>
          <w:bCs/>
          <w:u w:val="single"/>
        </w:rPr>
      </w:pPr>
    </w:p>
    <w:p w14:paraId="6CBFA981" w14:textId="2345E76D" w:rsidR="007D1A04" w:rsidRDefault="007D1A04" w:rsidP="0060058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In addition to monitoring the change before and after harvesting in a </w:t>
      </w:r>
      <w:r w:rsidR="009D479E">
        <w:rPr>
          <w:rFonts w:eastAsiaTheme="minorEastAsia"/>
        </w:rPr>
        <w:t>target</w:t>
      </w:r>
      <w:r>
        <w:rPr>
          <w:rFonts w:eastAsiaTheme="minorEastAsia"/>
        </w:rPr>
        <w:t xml:space="preserve"> catchment (as described in section 1), some studies also report before/after concentrations from a nearby “reference catchment” where harvesting did not take place. This provides an additional control to allow for changes in concentration not related to the harvesting. </w:t>
      </w:r>
    </w:p>
    <w:p w14:paraId="0BD75B8F" w14:textId="77777777" w:rsidR="007D1A04" w:rsidRDefault="007D1A04" w:rsidP="0060058E">
      <w:pPr>
        <w:jc w:val="both"/>
        <w:rPr>
          <w:rFonts w:eastAsiaTheme="minorEastAsia"/>
        </w:rPr>
      </w:pPr>
    </w:p>
    <w:p w14:paraId="395218E1" w14:textId="5BB446C7" w:rsidR="007D1A04" w:rsidRDefault="007D1A04" w:rsidP="0060058E">
      <w:pPr>
        <w:jc w:val="both"/>
        <w:rPr>
          <w:rFonts w:eastAsiaTheme="minorEastAsia"/>
        </w:rPr>
      </w:pPr>
      <w:r>
        <w:rPr>
          <w:rFonts w:eastAsiaTheme="minorEastAsia"/>
        </w:rPr>
        <w:t>As an example, consider the table below:</w:t>
      </w:r>
    </w:p>
    <w:p w14:paraId="25BFE912" w14:textId="77777777" w:rsidR="007D1A04" w:rsidRDefault="007D1A04" w:rsidP="0060058E">
      <w:pPr>
        <w:jc w:val="both"/>
        <w:rPr>
          <w:rFonts w:eastAsiaTheme="minorEastAsia"/>
        </w:rPr>
      </w:pP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1235"/>
        <w:gridCol w:w="2730"/>
        <w:gridCol w:w="2574"/>
      </w:tblGrid>
      <w:tr w:rsidR="007D1A04" w:rsidRPr="007D1A04" w14:paraId="0DF2F652" w14:textId="77777777" w:rsidTr="007D1A04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22D7D93" w14:textId="77777777" w:rsidR="007D1A04" w:rsidRPr="007D1A04" w:rsidRDefault="007D1A04" w:rsidP="007D1A04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D1A0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Catchment</w:t>
            </w:r>
          </w:p>
        </w:tc>
        <w:tc>
          <w:tcPr>
            <w:tcW w:w="0" w:type="auto"/>
            <w:noWrap/>
            <w:hideMark/>
          </w:tcPr>
          <w:p w14:paraId="56377001" w14:textId="77777777" w:rsidR="007D1A04" w:rsidRPr="007D1A04" w:rsidRDefault="007D1A04" w:rsidP="007D1A04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D1A0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Before concentration (mg/l)</w:t>
            </w:r>
          </w:p>
        </w:tc>
        <w:tc>
          <w:tcPr>
            <w:tcW w:w="0" w:type="auto"/>
            <w:noWrap/>
            <w:hideMark/>
          </w:tcPr>
          <w:p w14:paraId="27D0BD17" w14:textId="77777777" w:rsidR="007D1A04" w:rsidRPr="007D1A04" w:rsidRDefault="007D1A04" w:rsidP="007D1A04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D1A0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After concentration (mg/l)</w:t>
            </w:r>
          </w:p>
        </w:tc>
      </w:tr>
      <w:tr w:rsidR="007D1A04" w:rsidRPr="007D1A04" w14:paraId="1702390E" w14:textId="77777777" w:rsidTr="007D1A04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3CE06EE6" w14:textId="77777777" w:rsidR="007D1A04" w:rsidRPr="007D1A04" w:rsidRDefault="007D1A04" w:rsidP="007D1A04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D1A0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Reference</w:t>
            </w:r>
          </w:p>
        </w:tc>
        <w:tc>
          <w:tcPr>
            <w:tcW w:w="0" w:type="auto"/>
            <w:noWrap/>
            <w:hideMark/>
          </w:tcPr>
          <w:p w14:paraId="090B2F7F" w14:textId="77777777" w:rsidR="007D1A04" w:rsidRPr="007D1A04" w:rsidRDefault="007D1A04" w:rsidP="007D1A04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7D1A0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D29C89F" w14:textId="77777777" w:rsidR="007D1A04" w:rsidRPr="007D1A04" w:rsidRDefault="007D1A04" w:rsidP="007D1A0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7D1A0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</w:tr>
      <w:tr w:rsidR="007D1A04" w:rsidRPr="007D1A04" w14:paraId="6C8C9FD6" w14:textId="77777777" w:rsidTr="007D1A04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4B5397E4" w14:textId="77777777" w:rsidR="007D1A04" w:rsidRPr="007D1A04" w:rsidRDefault="007D1A04" w:rsidP="007D1A04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D1A0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Target</w:t>
            </w:r>
          </w:p>
        </w:tc>
        <w:tc>
          <w:tcPr>
            <w:tcW w:w="0" w:type="auto"/>
            <w:noWrap/>
            <w:hideMark/>
          </w:tcPr>
          <w:p w14:paraId="60F6DC72" w14:textId="77777777" w:rsidR="007D1A04" w:rsidRPr="007D1A04" w:rsidRDefault="007D1A04" w:rsidP="007D1A04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7D1A0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973DA5A" w14:textId="77777777" w:rsidR="007D1A04" w:rsidRPr="007D1A04" w:rsidRDefault="007D1A04" w:rsidP="007D1A0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7D1A0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</w:tr>
    </w:tbl>
    <w:p w14:paraId="664DBE27" w14:textId="77777777" w:rsidR="007D1A04" w:rsidRPr="007D1A04" w:rsidRDefault="007D1A04" w:rsidP="0060058E">
      <w:pPr>
        <w:jc w:val="both"/>
        <w:rPr>
          <w:rFonts w:eastAsiaTheme="minorEastAsia"/>
        </w:rPr>
      </w:pPr>
    </w:p>
    <w:p w14:paraId="31E78B22" w14:textId="4909642F" w:rsidR="00CA7A3C" w:rsidRDefault="009D479E" w:rsidP="0060058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In this case, concentrations doubled in the reference catchment, which implies concentrations would have also increased in the target catchment </w:t>
      </w:r>
      <w:r w:rsidRPr="009D479E">
        <w:rPr>
          <w:rFonts w:eastAsiaTheme="minorEastAsia"/>
          <w:i/>
          <w:iCs/>
        </w:rPr>
        <w:t>even without harvesting</w:t>
      </w:r>
      <w:r>
        <w:rPr>
          <w:rFonts w:eastAsiaTheme="minorEastAsia"/>
        </w:rPr>
        <w:t>. Based on the reference, we might have expected concentrations in the target catchment to increase from 2 to 4 mg/l even if harvesting had not occurred. A simple interpretation is therefore that harvesting caused an increase from 4 to 6 mg/l (i.e. a factor of 1.5), rather than driving the full change from 2 to 6 mg/l (a factor of 3).</w:t>
      </w:r>
    </w:p>
    <w:p w14:paraId="49DC8A83" w14:textId="77777777" w:rsidR="009D479E" w:rsidRDefault="009D479E" w:rsidP="0060058E">
      <w:pPr>
        <w:jc w:val="both"/>
        <w:rPr>
          <w:rFonts w:eastAsiaTheme="minorEastAsia"/>
        </w:rPr>
      </w:pPr>
    </w:p>
    <w:p w14:paraId="116F5185" w14:textId="5C24B20E" w:rsidR="009D479E" w:rsidRDefault="009D479E" w:rsidP="0060058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In this case, we can define an </w:t>
      </w:r>
      <w:r w:rsidRPr="009D479E">
        <w:rPr>
          <w:rFonts w:eastAsiaTheme="minorEastAsia"/>
          <w:i/>
          <w:iCs/>
        </w:rPr>
        <w:t>effective</w:t>
      </w:r>
      <w:r>
        <w:rPr>
          <w:rFonts w:eastAsiaTheme="minorEastAsia"/>
        </w:rPr>
        <w:t xml:space="preserve"> change factor due to harvesting,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</m:oMath>
      <w:r>
        <w:rPr>
          <w:rFonts w:eastAsiaTheme="minorEastAsia"/>
        </w:rPr>
        <w:t>. This is analogous to the change factor in equation [6</w:t>
      </w:r>
      <w:proofErr w:type="gramStart"/>
      <w:r>
        <w:rPr>
          <w:rFonts w:eastAsiaTheme="minorEastAsia"/>
        </w:rPr>
        <w:t>], but</w:t>
      </w:r>
      <w:proofErr w:type="gramEnd"/>
      <w:r>
        <w:rPr>
          <w:rFonts w:eastAsiaTheme="minorEastAsia"/>
        </w:rPr>
        <w:t xml:space="preserve"> adjusted to represent the fact that not all changes are necessarily due to harvesting (based on changes </w:t>
      </w:r>
      <w:r w:rsidR="005A0E8F">
        <w:rPr>
          <w:rFonts w:eastAsiaTheme="minorEastAsia"/>
        </w:rPr>
        <w:t xml:space="preserve">observed </w:t>
      </w:r>
      <w:r>
        <w:rPr>
          <w:rFonts w:eastAsiaTheme="minorEastAsia"/>
        </w:rPr>
        <w:t>in the reference catchment).</w:t>
      </w:r>
    </w:p>
    <w:p w14:paraId="6A7E2B52" w14:textId="77777777" w:rsidR="005A0E8F" w:rsidRDefault="005A0E8F" w:rsidP="0060058E">
      <w:pPr>
        <w:jc w:val="both"/>
        <w:rPr>
          <w:rFonts w:eastAsiaTheme="minorEastAsia"/>
        </w:rPr>
      </w:pPr>
    </w:p>
    <w:p w14:paraId="0AAB5999" w14:textId="6F5AC220" w:rsidR="005A0E8F" w:rsidRDefault="005A0E8F" w:rsidP="0060058E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target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reference</m:t>
                    </m:r>
                  </m:sup>
                </m:sSubSup>
              </m:den>
            </m:f>
          </m:num>
          <m:den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target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reference</m:t>
                    </m:r>
                  </m:sup>
                </m:sSubSup>
              </m:den>
            </m:f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[8]</w:t>
      </w:r>
    </w:p>
    <w:p w14:paraId="4041FEC8" w14:textId="77777777" w:rsidR="005A0E8F" w:rsidRDefault="005A0E8F" w:rsidP="0060058E">
      <w:pPr>
        <w:jc w:val="both"/>
        <w:rPr>
          <w:rFonts w:eastAsiaTheme="minorEastAsia"/>
        </w:rPr>
      </w:pPr>
    </w:p>
    <w:p w14:paraId="04DCDE8B" w14:textId="7E547038" w:rsidR="005A0E8F" w:rsidRPr="00CA7A3C" w:rsidRDefault="005A0E8F" w:rsidP="0060058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i.e. the ratio of target to reference concentrations after harvesting divided by the ratio before harvesting. This ratio,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</m:oMath>
      <w:r>
        <w:rPr>
          <w:rFonts w:eastAsiaTheme="minorEastAsia"/>
        </w:rPr>
        <w:t xml:space="preserve">, is often reported in the literature. Where provided, it can be used in equation [7] instead of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to provide an estimate of mean concentrations from harvested land allowing for changes in a reference catchment.</w:t>
      </w:r>
    </w:p>
    <w:p w14:paraId="2F4336E5" w14:textId="77777777" w:rsidR="00CA7A3C" w:rsidRDefault="00CA7A3C" w:rsidP="0060058E">
      <w:pPr>
        <w:jc w:val="both"/>
        <w:rPr>
          <w:rFonts w:eastAsiaTheme="minorEastAsia"/>
        </w:rPr>
      </w:pPr>
    </w:p>
    <w:p w14:paraId="19E30542" w14:textId="77777777" w:rsidR="00CA7A3C" w:rsidRDefault="00CA7A3C" w:rsidP="0060058E">
      <w:pPr>
        <w:jc w:val="both"/>
        <w:rPr>
          <w:rFonts w:eastAsiaTheme="minorEastAsia"/>
        </w:rPr>
      </w:pPr>
    </w:p>
    <w:p w14:paraId="4EBEC2D5" w14:textId="77777777" w:rsidR="00CA7A3C" w:rsidRPr="00832F90" w:rsidRDefault="00CA7A3C" w:rsidP="0060058E">
      <w:pPr>
        <w:jc w:val="both"/>
      </w:pPr>
    </w:p>
    <w:sectPr w:rsidR="00CA7A3C" w:rsidRPr="00832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B45"/>
    <w:multiLevelType w:val="hybridMultilevel"/>
    <w:tmpl w:val="EDC670A2"/>
    <w:lvl w:ilvl="0" w:tplc="447CA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01678"/>
    <w:multiLevelType w:val="multilevel"/>
    <w:tmpl w:val="82463CA2"/>
    <w:lvl w:ilvl="0">
      <w:start w:val="1"/>
      <w:numFmt w:val="decimal"/>
      <w:pStyle w:val="Bullet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64B19B1"/>
    <w:multiLevelType w:val="hybridMultilevel"/>
    <w:tmpl w:val="4FBE9F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37814"/>
    <w:multiLevelType w:val="hybridMultilevel"/>
    <w:tmpl w:val="D2A227A4"/>
    <w:lvl w:ilvl="0" w:tplc="09789E0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229176">
    <w:abstractNumId w:val="3"/>
  </w:num>
  <w:num w:numId="2" w16cid:durableId="977027994">
    <w:abstractNumId w:val="0"/>
  </w:num>
  <w:num w:numId="3" w16cid:durableId="1282880715">
    <w:abstractNumId w:val="1"/>
  </w:num>
  <w:num w:numId="4" w16cid:durableId="228228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90"/>
    <w:rsid w:val="0023043D"/>
    <w:rsid w:val="002E1CE4"/>
    <w:rsid w:val="00492543"/>
    <w:rsid w:val="005A0E8F"/>
    <w:rsid w:val="0060058E"/>
    <w:rsid w:val="006B2BCC"/>
    <w:rsid w:val="007D1A04"/>
    <w:rsid w:val="00832F90"/>
    <w:rsid w:val="0094435E"/>
    <w:rsid w:val="009D479E"/>
    <w:rsid w:val="00B033BC"/>
    <w:rsid w:val="00B86E65"/>
    <w:rsid w:val="00BC5A71"/>
    <w:rsid w:val="00C846E8"/>
    <w:rsid w:val="00CA7A3C"/>
    <w:rsid w:val="00D4579F"/>
    <w:rsid w:val="00D913CA"/>
    <w:rsid w:val="00E03D95"/>
    <w:rsid w:val="00E57374"/>
    <w:rsid w:val="00E83303"/>
    <w:rsid w:val="00EE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492AF1"/>
  <w15:chartTrackingRefBased/>
  <w15:docId w15:val="{40545B4A-87A0-4EA6-8217-F36E3079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E65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846E8"/>
    <w:pPr>
      <w:keepNext/>
      <w:keepLines/>
      <w:numPr>
        <w:numId w:val="1"/>
      </w:numPr>
      <w:spacing w:before="240"/>
      <w:ind w:left="360"/>
      <w:outlineLvl w:val="0"/>
    </w:pPr>
    <w:rPr>
      <w:rFonts w:eastAsiaTheme="majorEastAsia" w:cstheme="majorBidi"/>
      <w:b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6E8"/>
    <w:pPr>
      <w:keepNext/>
      <w:keepLines/>
      <w:spacing w:before="40"/>
      <w:outlineLvl w:val="1"/>
    </w:pPr>
    <w:rPr>
      <w:rFonts w:eastAsiaTheme="majorEastAsia" w:cstheme="majorBidi"/>
      <w:color w:val="0F4761" w:themeColor="accent1" w:themeShade="BF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43D"/>
    <w:pPr>
      <w:keepNext/>
      <w:keepLines/>
      <w:spacing w:before="40"/>
      <w:outlineLvl w:val="2"/>
    </w:pPr>
    <w:rPr>
      <w:rFonts w:eastAsiaTheme="majorEastAsia" w:cstheme="majorBidi"/>
      <w:i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F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F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F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F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33BC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B033BC"/>
    <w:rPr>
      <w:rFonts w:eastAsiaTheme="majorEastAsia" w:cstheme="majorBidi"/>
      <w:b/>
      <w:spacing w:val="-10"/>
      <w:kern w:val="28"/>
      <w:sz w:val="28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46E8"/>
    <w:rPr>
      <w:rFonts w:eastAsiaTheme="majorEastAsia" w:cstheme="majorBidi"/>
      <w:b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46E8"/>
    <w:rPr>
      <w:rFonts w:eastAsiaTheme="majorEastAsia" w:cstheme="majorBidi"/>
      <w:color w:val="0F4761" w:themeColor="accent1" w:themeShade="BF"/>
      <w:szCs w:val="26"/>
      <w:u w:val="single"/>
    </w:rPr>
  </w:style>
  <w:style w:type="paragraph" w:customStyle="1" w:styleId="Bullets">
    <w:name w:val="Bullets"/>
    <w:basedOn w:val="ListParagraph"/>
    <w:link w:val="BulletsChar"/>
    <w:qFormat/>
    <w:rsid w:val="00E03D95"/>
    <w:pPr>
      <w:numPr>
        <w:numId w:val="3"/>
      </w:numPr>
      <w:spacing w:before="120" w:after="120" w:line="240" w:lineRule="auto"/>
      <w:ind w:hanging="360"/>
      <w:jc w:val="both"/>
    </w:pPr>
  </w:style>
  <w:style w:type="character" w:customStyle="1" w:styleId="BulletsChar">
    <w:name w:val="Bullets Char"/>
    <w:basedOn w:val="DefaultParagraphFont"/>
    <w:link w:val="Bullets"/>
    <w:rsid w:val="00E03D95"/>
  </w:style>
  <w:style w:type="paragraph" w:styleId="ListParagraph">
    <w:name w:val="List Paragraph"/>
    <w:basedOn w:val="Normal"/>
    <w:uiPriority w:val="34"/>
    <w:qFormat/>
    <w:rsid w:val="00E03D9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4579F"/>
    <w:pPr>
      <w:shd w:val="clear" w:color="auto" w:fill="D9D9D9" w:themeFill="background1" w:themeFillShade="D9"/>
      <w:jc w:val="both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D4579F"/>
    <w:rPr>
      <w:rFonts w:ascii="Courier New" w:hAnsi="Courier New" w:cs="Courier New"/>
      <w:shd w:val="clear" w:color="auto" w:fill="D9D9D9" w:themeFill="background1" w:themeFillShade="D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43D"/>
    <w:rPr>
      <w:rFonts w:eastAsiaTheme="majorEastAsia" w:cstheme="majorBidi"/>
      <w:i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F90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F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F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F9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32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F9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0058E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BC5A7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GridTable5Dark-Accent1">
    <w:name w:val="Grid Table 5 Dark Accent 1"/>
    <w:basedOn w:val="TableNormal"/>
    <w:uiPriority w:val="50"/>
    <w:rsid w:val="007D1A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7D1A04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7D1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3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BCC6E-F6F4-4D3D-BBB4-1F081B7D9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Edward Sample</dc:creator>
  <cp:keywords/>
  <dc:description/>
  <cp:lastModifiedBy>James Edward Sample</cp:lastModifiedBy>
  <cp:revision>1</cp:revision>
  <dcterms:created xsi:type="dcterms:W3CDTF">2024-02-08T10:13:00Z</dcterms:created>
  <dcterms:modified xsi:type="dcterms:W3CDTF">2024-02-08T11:30:00Z</dcterms:modified>
</cp:coreProperties>
</file>