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9F62C" w14:textId="17ED806C" w:rsidR="00637412" w:rsidRDefault="00637412" w:rsidP="00637412">
      <w:pPr>
        <w:spacing w:line="240" w:lineRule="auto"/>
        <w:jc w:val="left"/>
        <w:rPr>
          <w:rFonts w:cs="Arial"/>
          <w:b/>
          <w:color w:val="4472C4" w:themeColor="accent1"/>
          <w:sz w:val="28"/>
          <w:szCs w:val="28"/>
          <w:lang w:val="en-GB"/>
        </w:rPr>
      </w:pPr>
      <w:r>
        <w:rPr>
          <w:rFonts w:cs="Arial"/>
          <w:b/>
          <w:color w:val="4472C4" w:themeColor="accent1"/>
          <w:sz w:val="28"/>
          <w:szCs w:val="28"/>
          <w:lang w:val="en-GB"/>
        </w:rPr>
        <w:t>Guide to understanding and interpreting seasonal water quality forecasts for Lake Vansjø</w:t>
      </w:r>
    </w:p>
    <w:p w14:paraId="0D6478BE" w14:textId="649CC6BD" w:rsidR="008A6466" w:rsidRPr="008C5282" w:rsidRDefault="008A6466" w:rsidP="008A6466">
      <w:pPr>
        <w:rPr>
          <w:lang w:val="en-GB"/>
        </w:rPr>
      </w:pPr>
      <w:r>
        <w:rPr>
          <w:lang w:val="en-GB"/>
        </w:rPr>
        <w:t>Lake water quality forecasts are issued once a year in April for the period May-October, to coincide with the definition of the growing season used in the Water Framework Directive (WFD). F</w:t>
      </w:r>
      <w:r w:rsidRPr="00EB0EE7">
        <w:rPr>
          <w:rFonts w:cs="Arial"/>
          <w:szCs w:val="20"/>
          <w:lang w:val="en-GB"/>
        </w:rPr>
        <w:t xml:space="preserve">orecasts </w:t>
      </w:r>
      <w:r>
        <w:rPr>
          <w:rFonts w:cs="Arial"/>
          <w:szCs w:val="20"/>
          <w:lang w:val="en-GB"/>
        </w:rPr>
        <w:t xml:space="preserve">are </w:t>
      </w:r>
      <w:r w:rsidRPr="00EB0EE7">
        <w:rPr>
          <w:rFonts w:cs="Arial"/>
          <w:szCs w:val="20"/>
          <w:lang w:val="en-GB"/>
        </w:rPr>
        <w:t>for the western basin of Lake Vansjø (Vanemfjorden)</w:t>
      </w:r>
      <w:r>
        <w:rPr>
          <w:rFonts w:cs="Arial"/>
          <w:szCs w:val="20"/>
          <w:lang w:val="en-GB"/>
        </w:rPr>
        <w:t xml:space="preserve">, and aim to </w:t>
      </w:r>
      <w:r w:rsidRPr="00EB0EE7">
        <w:rPr>
          <w:rFonts w:cs="Arial"/>
          <w:szCs w:val="20"/>
          <w:lang w:val="en-GB"/>
        </w:rPr>
        <w:t>predic</w:t>
      </w:r>
      <w:r>
        <w:rPr>
          <w:rFonts w:cs="Arial"/>
          <w:szCs w:val="20"/>
          <w:lang w:val="en-GB"/>
        </w:rPr>
        <w:t>t</w:t>
      </w:r>
      <w:r w:rsidRPr="00EB0EE7">
        <w:rPr>
          <w:rFonts w:cs="Arial"/>
          <w:szCs w:val="20"/>
          <w:lang w:val="en-GB"/>
        </w:rPr>
        <w:t xml:space="preserve"> </w:t>
      </w:r>
      <w:r>
        <w:rPr>
          <w:rFonts w:cs="Arial"/>
          <w:szCs w:val="20"/>
          <w:lang w:val="en-GB"/>
        </w:rPr>
        <w:t xml:space="preserve">WFD </w:t>
      </w:r>
      <w:r w:rsidRPr="00EB0EE7">
        <w:rPr>
          <w:rFonts w:cs="Arial"/>
          <w:szCs w:val="20"/>
          <w:lang w:val="en-GB"/>
        </w:rPr>
        <w:t>ecological status</w:t>
      </w:r>
      <w:r>
        <w:rPr>
          <w:rFonts w:cs="Arial"/>
          <w:szCs w:val="20"/>
          <w:lang w:val="en-GB"/>
        </w:rPr>
        <w:t>. Four variables are predicted: concentrations of total phosphorus (TP), chlorophyll-a (chl-a)</w:t>
      </w:r>
      <w:r w:rsidR="00FE590E">
        <w:rPr>
          <w:rFonts w:cs="Arial"/>
          <w:szCs w:val="20"/>
          <w:lang w:val="en-GB"/>
        </w:rPr>
        <w:t xml:space="preserve">, </w:t>
      </w:r>
      <w:r>
        <w:rPr>
          <w:rFonts w:cs="Arial"/>
          <w:szCs w:val="20"/>
          <w:lang w:val="en-GB"/>
        </w:rPr>
        <w:t>lake colour and cyanobacteria</w:t>
      </w:r>
      <w:r w:rsidR="00FE590E">
        <w:rPr>
          <w:rFonts w:cs="Arial"/>
          <w:szCs w:val="20"/>
          <w:lang w:val="en-GB"/>
        </w:rPr>
        <w:t>.</w:t>
      </w:r>
      <w:r>
        <w:rPr>
          <w:rFonts w:cs="Arial"/>
          <w:szCs w:val="20"/>
          <w:lang w:val="en-GB"/>
        </w:rPr>
        <w:t xml:space="preserve"> </w:t>
      </w:r>
      <w:r w:rsidR="00FE590E">
        <w:rPr>
          <w:rFonts w:cs="Arial"/>
          <w:szCs w:val="20"/>
          <w:lang w:val="en-GB"/>
        </w:rPr>
        <w:t>The</w:t>
      </w:r>
      <w:r>
        <w:rPr>
          <w:rFonts w:cs="Arial"/>
          <w:szCs w:val="20"/>
          <w:lang w:val="en-GB"/>
        </w:rPr>
        <w:t xml:space="preserve"> forecast is for mean TP and chl</w:t>
      </w:r>
      <w:r w:rsidR="007F0318">
        <w:rPr>
          <w:rFonts w:cs="Arial"/>
          <w:szCs w:val="20"/>
          <w:lang w:val="en-GB"/>
        </w:rPr>
        <w:t>-</w:t>
      </w:r>
      <w:r>
        <w:rPr>
          <w:rFonts w:cs="Arial"/>
          <w:szCs w:val="20"/>
          <w:lang w:val="en-GB"/>
        </w:rPr>
        <w:t>a and maximum cyanobacteria biovolume</w:t>
      </w:r>
      <w:r w:rsidR="00FE590E">
        <w:rPr>
          <w:rFonts w:cs="Arial"/>
          <w:szCs w:val="20"/>
          <w:lang w:val="en-GB"/>
        </w:rPr>
        <w:t xml:space="preserve"> (consistent with WFD classification criteria)</w:t>
      </w:r>
      <w:r>
        <w:rPr>
          <w:rFonts w:cs="Arial"/>
          <w:szCs w:val="20"/>
          <w:lang w:val="en-GB"/>
        </w:rPr>
        <w:t xml:space="preserve">. </w:t>
      </w:r>
      <w:r w:rsidR="00FE590E">
        <w:rPr>
          <w:rFonts w:cs="Arial"/>
          <w:szCs w:val="20"/>
          <w:lang w:val="en-GB"/>
        </w:rPr>
        <w:t>M</w:t>
      </w:r>
      <w:r>
        <w:rPr>
          <w:rFonts w:cs="Arial"/>
          <w:szCs w:val="20"/>
          <w:lang w:val="en-GB"/>
        </w:rPr>
        <w:t>ean colour is forecasted as it may affect cyanobacteria and also be of interest in terms of drinking water treatment.</w:t>
      </w:r>
    </w:p>
    <w:p w14:paraId="5B30A844" w14:textId="1381AEBF" w:rsidR="008A6466" w:rsidRPr="008A6466" w:rsidRDefault="00E52FDC" w:rsidP="00637412">
      <w:pPr>
        <w:rPr>
          <w:sz w:val="22"/>
          <w:shd w:val="clear" w:color="auto" w:fill="FFFFFF"/>
          <w:lang w:val="en-GB"/>
        </w:rPr>
      </w:pPr>
      <w:r>
        <w:rPr>
          <w:rFonts w:cs="Arial"/>
          <w:b/>
          <w:color w:val="4472C4" w:themeColor="accent1"/>
          <w:sz w:val="22"/>
          <w:lang w:val="en-GB"/>
        </w:rPr>
        <w:t>The forecast tables for each lake variable contain the following information:</w:t>
      </w:r>
    </w:p>
    <w:p w14:paraId="2E4B9E36" w14:textId="4F1037DA" w:rsidR="00637412" w:rsidRDefault="00637412" w:rsidP="00637412">
      <w:pPr>
        <w:rPr>
          <w:shd w:val="clear" w:color="auto" w:fill="FFFFFF"/>
          <w:lang w:val="en-GB"/>
        </w:rPr>
      </w:pPr>
      <w:r w:rsidRPr="007D04CB">
        <w:rPr>
          <w:b/>
          <w:shd w:val="clear" w:color="auto" w:fill="FFFFFF"/>
          <w:lang w:val="en-GB"/>
        </w:rPr>
        <w:t>(WFD) class</w:t>
      </w:r>
      <w:r w:rsidRPr="007D04CB">
        <w:rPr>
          <w:shd w:val="clear" w:color="auto" w:fill="FFFFFF"/>
          <w:lang w:val="en-GB"/>
        </w:rPr>
        <w:t>:</w:t>
      </w:r>
      <w:r w:rsidR="008A6466">
        <w:rPr>
          <w:shd w:val="clear" w:color="auto" w:fill="FFFFFF"/>
          <w:lang w:val="en-GB"/>
        </w:rPr>
        <w:t xml:space="preserve"> </w:t>
      </w:r>
      <w:r w:rsidRPr="007D04CB">
        <w:rPr>
          <w:shd w:val="clear" w:color="auto" w:fill="FFFFFF"/>
          <w:lang w:val="en-GB"/>
        </w:rPr>
        <w:t>classes considered</w:t>
      </w:r>
      <w:r w:rsidR="008A6466">
        <w:rPr>
          <w:shd w:val="clear" w:color="auto" w:fill="FFFFFF"/>
          <w:lang w:val="en-GB"/>
        </w:rPr>
        <w:t xml:space="preserve"> when making predictions</w:t>
      </w:r>
      <w:r w:rsidRPr="007D04CB">
        <w:rPr>
          <w:shd w:val="clear" w:color="auto" w:fill="FFFFFF"/>
          <w:lang w:val="en-GB"/>
        </w:rPr>
        <w:t xml:space="preserve">. </w:t>
      </w:r>
      <w:r w:rsidR="00AA2E9B">
        <w:rPr>
          <w:shd w:val="clear" w:color="auto" w:fill="FFFFFF"/>
          <w:lang w:val="en-GB"/>
        </w:rPr>
        <w:t xml:space="preserve">The models used to make predictions are statistical, i.e. they rely on historic observations, and there was only enough historic data to allow two classes to be considered per variable. These two classes were chosen by </w:t>
      </w:r>
      <w:r w:rsidRPr="007D04CB">
        <w:rPr>
          <w:shd w:val="clear" w:color="auto" w:fill="FFFFFF"/>
          <w:lang w:val="en-GB"/>
        </w:rPr>
        <w:t>simplif</w:t>
      </w:r>
      <w:r w:rsidR="00AA2E9B">
        <w:rPr>
          <w:shd w:val="clear" w:color="auto" w:fill="FFFFFF"/>
          <w:lang w:val="en-GB"/>
        </w:rPr>
        <w:t xml:space="preserve">ying </w:t>
      </w:r>
      <w:r w:rsidRPr="007D04CB">
        <w:rPr>
          <w:shd w:val="clear" w:color="auto" w:fill="FFFFFF"/>
          <w:lang w:val="en-GB"/>
        </w:rPr>
        <w:t xml:space="preserve">the WFD </w:t>
      </w:r>
      <w:r w:rsidR="00FE590E">
        <w:rPr>
          <w:shd w:val="clear" w:color="auto" w:fill="FFFFFF"/>
          <w:lang w:val="en-GB"/>
        </w:rPr>
        <w:t>classes</w:t>
      </w:r>
      <w:r w:rsidR="008A6466">
        <w:rPr>
          <w:shd w:val="clear" w:color="auto" w:fill="FFFFFF"/>
          <w:lang w:val="en-GB"/>
        </w:rPr>
        <w:t>, dropping classes which had few observations during the historic period.</w:t>
      </w:r>
      <w:r w:rsidRPr="007D04CB">
        <w:rPr>
          <w:shd w:val="clear" w:color="auto" w:fill="FFFFFF"/>
          <w:lang w:val="en-GB"/>
        </w:rPr>
        <w:t xml:space="preserve"> In the case of </w:t>
      </w:r>
      <w:r w:rsidR="001422ED">
        <w:rPr>
          <w:shd w:val="clear" w:color="auto" w:fill="FFFFFF"/>
          <w:lang w:val="en-GB"/>
        </w:rPr>
        <w:t>TP</w:t>
      </w:r>
      <w:r w:rsidRPr="007D04CB">
        <w:rPr>
          <w:shd w:val="clear" w:color="auto" w:fill="FFFFFF"/>
          <w:lang w:val="en-GB"/>
        </w:rPr>
        <w:t>, almost all lake observations lay within the ‘Moderate’ class</w:t>
      </w:r>
      <w:r w:rsidR="00AA2E9B">
        <w:rPr>
          <w:shd w:val="clear" w:color="auto" w:fill="FFFFFF"/>
          <w:lang w:val="en-GB"/>
        </w:rPr>
        <w:t>,</w:t>
      </w:r>
      <w:r w:rsidRPr="007D04CB">
        <w:rPr>
          <w:shd w:val="clear" w:color="auto" w:fill="FFFFFF"/>
          <w:lang w:val="en-GB"/>
        </w:rPr>
        <w:t xml:space="preserve"> so this was split into ‘upper Moderate</w:t>
      </w:r>
      <w:r w:rsidR="00AA2E9B">
        <w:rPr>
          <w:shd w:val="clear" w:color="auto" w:fill="FFFFFF"/>
          <w:lang w:val="en-GB"/>
        </w:rPr>
        <w:t xml:space="preserve"> or better’</w:t>
      </w:r>
      <w:r w:rsidRPr="007D04CB">
        <w:rPr>
          <w:shd w:val="clear" w:color="auto" w:fill="FFFFFF"/>
          <w:lang w:val="en-GB"/>
        </w:rPr>
        <w:t xml:space="preserve"> and ‘lower </w:t>
      </w:r>
      <w:bookmarkStart w:id="0" w:name="_GoBack"/>
      <w:bookmarkEnd w:id="0"/>
      <w:r w:rsidRPr="007D04CB">
        <w:rPr>
          <w:shd w:val="clear" w:color="auto" w:fill="FFFFFF"/>
          <w:lang w:val="en-GB"/>
        </w:rPr>
        <w:t>Moderate</w:t>
      </w:r>
      <w:r w:rsidR="00AA2E9B">
        <w:rPr>
          <w:shd w:val="clear" w:color="auto" w:fill="FFFFFF"/>
          <w:lang w:val="en-GB"/>
        </w:rPr>
        <w:t xml:space="preserve"> or worse’</w:t>
      </w:r>
      <w:r w:rsidRPr="007D04CB">
        <w:rPr>
          <w:shd w:val="clear" w:color="auto" w:fill="FFFFFF"/>
          <w:lang w:val="en-GB"/>
        </w:rPr>
        <w:t xml:space="preserve">. The WFD does not specify lake colour limits that are relevant for Vansjø, so </w:t>
      </w:r>
      <w:r w:rsidR="008A6466">
        <w:rPr>
          <w:shd w:val="clear" w:color="auto" w:fill="FFFFFF"/>
          <w:lang w:val="en-GB"/>
        </w:rPr>
        <w:t>this was s</w:t>
      </w:r>
      <w:r w:rsidRPr="007D04CB">
        <w:rPr>
          <w:shd w:val="clear" w:color="auto" w:fill="FFFFFF"/>
          <w:lang w:val="en-GB"/>
        </w:rPr>
        <w:t xml:space="preserve">plit into ‘High’ </w:t>
      </w:r>
      <w:r w:rsidR="008A6466">
        <w:rPr>
          <w:shd w:val="clear" w:color="auto" w:fill="FFFFFF"/>
          <w:lang w:val="en-GB"/>
        </w:rPr>
        <w:t>and</w:t>
      </w:r>
      <w:r w:rsidRPr="007D04CB">
        <w:rPr>
          <w:shd w:val="clear" w:color="auto" w:fill="FFFFFF"/>
          <w:lang w:val="en-GB"/>
        </w:rPr>
        <w:t xml:space="preserve"> ‘Low’ using the upper tercile (66</w:t>
      </w:r>
      <w:r w:rsidRPr="007D04CB">
        <w:rPr>
          <w:shd w:val="clear" w:color="auto" w:fill="FFFFFF"/>
          <w:vertAlign w:val="superscript"/>
          <w:lang w:val="en-GB"/>
        </w:rPr>
        <w:t>th</w:t>
      </w:r>
      <w:r w:rsidRPr="007D04CB">
        <w:rPr>
          <w:shd w:val="clear" w:color="auto" w:fill="FFFFFF"/>
          <w:lang w:val="en-GB"/>
        </w:rPr>
        <w:t xml:space="preserve"> percentile) of the historic observed seasonal mean colour.</w:t>
      </w:r>
    </w:p>
    <w:p w14:paraId="2601372A" w14:textId="4CDD247E" w:rsidR="00637412" w:rsidRPr="007D04CB" w:rsidRDefault="00AA2E9B" w:rsidP="00637412">
      <w:pPr>
        <w:rPr>
          <w:shd w:val="clear" w:color="auto" w:fill="FFFFFF"/>
          <w:lang w:val="en-GB"/>
        </w:rPr>
      </w:pPr>
      <w:r>
        <w:rPr>
          <w:b/>
          <w:shd w:val="clear" w:color="auto" w:fill="FFFFFF"/>
          <w:lang w:val="en-GB"/>
        </w:rPr>
        <w:t>Probability</w:t>
      </w:r>
      <w:r w:rsidR="00637412" w:rsidRPr="007D04CB">
        <w:rPr>
          <w:b/>
          <w:shd w:val="clear" w:color="auto" w:fill="FFFFFF"/>
          <w:lang w:val="en-GB"/>
        </w:rPr>
        <w:t xml:space="preserve"> of </w:t>
      </w:r>
      <w:r w:rsidR="008A6466">
        <w:rPr>
          <w:b/>
          <w:shd w:val="clear" w:color="auto" w:fill="FFFFFF"/>
          <w:lang w:val="en-GB"/>
        </w:rPr>
        <w:t xml:space="preserve">the </w:t>
      </w:r>
      <w:r w:rsidR="00637412" w:rsidRPr="007D04CB">
        <w:rPr>
          <w:b/>
          <w:shd w:val="clear" w:color="auto" w:fill="FFFFFF"/>
          <w:lang w:val="en-GB"/>
        </w:rPr>
        <w:t>class</w:t>
      </w:r>
      <w:r w:rsidR="00637412" w:rsidRPr="007D04CB">
        <w:rPr>
          <w:shd w:val="clear" w:color="auto" w:fill="FFFFFF"/>
          <w:lang w:val="en-GB"/>
        </w:rPr>
        <w:t xml:space="preserve">: The forecasted </w:t>
      </w:r>
      <w:r>
        <w:rPr>
          <w:shd w:val="clear" w:color="auto" w:fill="FFFFFF"/>
          <w:lang w:val="en-GB"/>
        </w:rPr>
        <w:t>probability</w:t>
      </w:r>
      <w:r w:rsidR="00637412" w:rsidRPr="007D04CB">
        <w:rPr>
          <w:shd w:val="clear" w:color="auto" w:fill="FFFFFF"/>
          <w:lang w:val="en-GB"/>
        </w:rPr>
        <w:t xml:space="preserve"> of the class occurring</w:t>
      </w:r>
      <w:r w:rsidR="001422ED">
        <w:rPr>
          <w:shd w:val="clear" w:color="auto" w:fill="FFFFFF"/>
          <w:lang w:val="en-GB"/>
        </w:rPr>
        <w:t xml:space="preserve"> (note: n</w:t>
      </w:r>
      <w:r w:rsidR="001422ED" w:rsidRPr="007D04CB">
        <w:rPr>
          <w:shd w:val="clear" w:color="auto" w:fill="FFFFFF"/>
          <w:lang w:val="en-GB"/>
        </w:rPr>
        <w:t>o</w:t>
      </w:r>
      <w:r w:rsidR="001422ED">
        <w:rPr>
          <w:shd w:val="clear" w:color="auto" w:fill="FFFFFF"/>
          <w:lang w:val="en-GB"/>
        </w:rPr>
        <w:t xml:space="preserve">t </w:t>
      </w:r>
      <w:r w:rsidR="001422ED" w:rsidRPr="007D04CB">
        <w:rPr>
          <w:shd w:val="clear" w:color="auto" w:fill="FFFFFF"/>
          <w:lang w:val="en-GB"/>
        </w:rPr>
        <w:t xml:space="preserve">available for chl-a </w:t>
      </w:r>
      <w:r w:rsidR="001422ED">
        <w:rPr>
          <w:shd w:val="clear" w:color="auto" w:fill="FFFFFF"/>
          <w:lang w:val="en-GB"/>
        </w:rPr>
        <w:t xml:space="preserve">as a </w:t>
      </w:r>
      <w:r w:rsidR="001422ED" w:rsidRPr="007D04CB">
        <w:rPr>
          <w:shd w:val="clear" w:color="auto" w:fill="FFFFFF"/>
          <w:lang w:val="en-GB"/>
        </w:rPr>
        <w:t xml:space="preserve">simpler model </w:t>
      </w:r>
      <w:r w:rsidR="001422ED">
        <w:rPr>
          <w:shd w:val="clear" w:color="auto" w:fill="FFFFFF"/>
          <w:lang w:val="en-GB"/>
        </w:rPr>
        <w:t xml:space="preserve">was </w:t>
      </w:r>
      <w:r w:rsidR="001422ED" w:rsidRPr="007D04CB">
        <w:rPr>
          <w:shd w:val="clear" w:color="auto" w:fill="FFFFFF"/>
          <w:lang w:val="en-GB"/>
        </w:rPr>
        <w:t>used in forecasting</w:t>
      </w:r>
      <w:r w:rsidR="001422ED">
        <w:rPr>
          <w:shd w:val="clear" w:color="auto" w:fill="FFFFFF"/>
          <w:lang w:val="en-GB"/>
        </w:rPr>
        <w:t>; see below)</w:t>
      </w:r>
      <w:r w:rsidR="001422ED" w:rsidRPr="007D04CB">
        <w:rPr>
          <w:shd w:val="clear" w:color="auto" w:fill="FFFFFF"/>
          <w:lang w:val="en-GB"/>
        </w:rPr>
        <w:t>.</w:t>
      </w:r>
      <w:r w:rsidR="001422ED">
        <w:rPr>
          <w:shd w:val="clear" w:color="auto" w:fill="FFFFFF"/>
          <w:lang w:val="en-GB"/>
        </w:rPr>
        <w:t xml:space="preserve"> </w:t>
      </w:r>
      <w:bookmarkStart w:id="1" w:name="_Hlk32913296"/>
      <w:r w:rsidR="00637412" w:rsidRPr="007D04CB">
        <w:rPr>
          <w:shd w:val="clear" w:color="auto" w:fill="FFFFFF"/>
          <w:lang w:val="en-GB"/>
        </w:rPr>
        <w:t xml:space="preserve">Probabilities associated with each class were </w:t>
      </w:r>
      <w:r>
        <w:rPr>
          <w:shd w:val="clear" w:color="auto" w:fill="FFFFFF"/>
          <w:lang w:val="en-GB"/>
        </w:rPr>
        <w:t xml:space="preserve">discretized into four categories, from very low to high, </w:t>
      </w:r>
      <w:r w:rsidR="00637412" w:rsidRPr="007D04CB">
        <w:rPr>
          <w:shd w:val="clear" w:color="auto" w:fill="FFFFFF"/>
          <w:lang w:val="en-GB"/>
        </w:rPr>
        <w:t>as follows</w:t>
      </w:r>
      <w:bookmarkEnd w:id="1"/>
      <w:r w:rsidR="00637412" w:rsidRPr="007D04CB">
        <w:rPr>
          <w:shd w:val="clear" w:color="auto" w:fill="FFFFFF"/>
          <w:lang w:val="en-GB"/>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977"/>
      </w:tblGrid>
      <w:tr w:rsidR="00637412" w:rsidRPr="00FE590E" w14:paraId="247B517F" w14:textId="77777777" w:rsidTr="00FE590E">
        <w:trPr>
          <w:trHeight w:val="510"/>
        </w:trPr>
        <w:tc>
          <w:tcPr>
            <w:tcW w:w="2547" w:type="dxa"/>
            <w:tcBorders>
              <w:top w:val="single" w:sz="4" w:space="0" w:color="auto"/>
              <w:left w:val="single" w:sz="4" w:space="0" w:color="auto"/>
              <w:bottom w:val="single" w:sz="4" w:space="0" w:color="auto"/>
              <w:right w:val="single" w:sz="4" w:space="0" w:color="auto"/>
            </w:tcBorders>
            <w:vAlign w:val="center"/>
          </w:tcPr>
          <w:p w14:paraId="17AE0CEB" w14:textId="5365D6A6" w:rsidR="00637412" w:rsidRPr="00FE590E" w:rsidRDefault="00AA2E9B" w:rsidP="005A5B43">
            <w:pPr>
              <w:ind w:left="360"/>
              <w:jc w:val="center"/>
              <w:rPr>
                <w:lang w:val="en-GB"/>
              </w:rPr>
            </w:pPr>
            <w:r>
              <w:rPr>
                <w:lang w:val="en-GB"/>
              </w:rPr>
              <w:t>Probability</w:t>
            </w:r>
            <w:r w:rsidR="00637412" w:rsidRPr="00FE590E">
              <w:rPr>
                <w:lang w:val="en-GB"/>
              </w:rPr>
              <w:t xml:space="preserve"> category</w:t>
            </w:r>
          </w:p>
        </w:tc>
        <w:tc>
          <w:tcPr>
            <w:tcW w:w="2977" w:type="dxa"/>
            <w:tcBorders>
              <w:top w:val="single" w:sz="4" w:space="0" w:color="auto"/>
              <w:left w:val="single" w:sz="4" w:space="0" w:color="auto"/>
              <w:bottom w:val="single" w:sz="4" w:space="0" w:color="auto"/>
              <w:right w:val="single" w:sz="4" w:space="0" w:color="auto"/>
            </w:tcBorders>
            <w:shd w:val="clear" w:color="auto" w:fill="auto"/>
            <w:tcMar>
              <w:left w:w="108" w:type="dxa"/>
            </w:tcMar>
            <w:vAlign w:val="center"/>
          </w:tcPr>
          <w:p w14:paraId="0B3251DD" w14:textId="6F3F0A64" w:rsidR="00637412" w:rsidRPr="00FE590E" w:rsidRDefault="00AA2E9B" w:rsidP="005A5B43">
            <w:pPr>
              <w:ind w:left="360"/>
              <w:jc w:val="center"/>
              <w:rPr>
                <w:lang w:val="en-GB"/>
              </w:rPr>
            </w:pPr>
            <w:r>
              <w:rPr>
                <w:lang w:val="en-GB"/>
              </w:rPr>
              <w:t>Probability</w:t>
            </w:r>
            <w:r w:rsidR="00637412" w:rsidRPr="00FE590E">
              <w:rPr>
                <w:lang w:val="en-GB"/>
              </w:rPr>
              <w:t xml:space="preserve"> of the class (%)</w:t>
            </w:r>
          </w:p>
        </w:tc>
      </w:tr>
      <w:tr w:rsidR="00637412" w14:paraId="6CDD2019" w14:textId="77777777" w:rsidTr="00FE590E">
        <w:tc>
          <w:tcPr>
            <w:tcW w:w="0" w:type="auto"/>
            <w:tcBorders>
              <w:left w:val="single" w:sz="4" w:space="0" w:color="auto"/>
              <w:right w:val="single" w:sz="4" w:space="0" w:color="auto"/>
            </w:tcBorders>
            <w:shd w:val="clear" w:color="auto" w:fill="F7CAAC" w:themeFill="accent2" w:themeFillTint="66"/>
          </w:tcPr>
          <w:p w14:paraId="29F2302F" w14:textId="77777777" w:rsidR="00637412" w:rsidRPr="007D04CB" w:rsidRDefault="00637412" w:rsidP="005A5B43">
            <w:pPr>
              <w:ind w:left="360"/>
              <w:jc w:val="center"/>
              <w:rPr>
                <w:lang w:val="en-GB"/>
              </w:rPr>
            </w:pPr>
            <w:r w:rsidRPr="007D04CB">
              <w:rPr>
                <w:lang w:val="en-GB"/>
              </w:rPr>
              <w:t>Very low</w:t>
            </w:r>
          </w:p>
        </w:tc>
        <w:tc>
          <w:tcPr>
            <w:tcW w:w="2977" w:type="dxa"/>
            <w:tcBorders>
              <w:left w:val="single" w:sz="4" w:space="0" w:color="auto"/>
              <w:right w:val="single" w:sz="4" w:space="0" w:color="auto"/>
            </w:tcBorders>
            <w:shd w:val="clear" w:color="auto" w:fill="F7CAAC" w:themeFill="accent2" w:themeFillTint="66"/>
            <w:tcMar>
              <w:left w:w="108" w:type="dxa"/>
            </w:tcMar>
            <w:vAlign w:val="center"/>
          </w:tcPr>
          <w:p w14:paraId="4B2F33A5" w14:textId="4C4D3B84" w:rsidR="00637412" w:rsidRPr="007D04CB" w:rsidRDefault="00637412" w:rsidP="005A5B43">
            <w:pPr>
              <w:ind w:left="360"/>
              <w:jc w:val="center"/>
              <w:rPr>
                <w:lang w:val="en-GB"/>
              </w:rPr>
            </w:pPr>
            <w:r w:rsidRPr="007D04CB">
              <w:rPr>
                <w:lang w:val="en-GB"/>
              </w:rPr>
              <w:t xml:space="preserve">0 </w:t>
            </w:r>
            <w:r w:rsidR="001422ED">
              <w:rPr>
                <w:lang w:val="en-GB"/>
              </w:rPr>
              <w:t>–</w:t>
            </w:r>
            <w:r w:rsidRPr="007D04CB">
              <w:rPr>
                <w:lang w:val="en-GB"/>
              </w:rPr>
              <w:t xml:space="preserve"> 25</w:t>
            </w:r>
          </w:p>
        </w:tc>
      </w:tr>
      <w:tr w:rsidR="00637412" w14:paraId="10701FDA" w14:textId="77777777" w:rsidTr="00FE590E">
        <w:tc>
          <w:tcPr>
            <w:tcW w:w="0" w:type="auto"/>
            <w:tcBorders>
              <w:left w:val="single" w:sz="4" w:space="0" w:color="auto"/>
              <w:right w:val="single" w:sz="4" w:space="0" w:color="auto"/>
            </w:tcBorders>
            <w:shd w:val="clear" w:color="auto" w:fill="FFFF00"/>
          </w:tcPr>
          <w:p w14:paraId="7A255325" w14:textId="77777777" w:rsidR="00637412" w:rsidRPr="007D04CB" w:rsidRDefault="00637412" w:rsidP="005A5B43">
            <w:pPr>
              <w:ind w:left="360"/>
              <w:jc w:val="center"/>
              <w:rPr>
                <w:lang w:val="en-GB"/>
              </w:rPr>
            </w:pPr>
            <w:r w:rsidRPr="007D04CB">
              <w:rPr>
                <w:lang w:val="en-GB"/>
              </w:rPr>
              <w:t>Low</w:t>
            </w:r>
          </w:p>
        </w:tc>
        <w:tc>
          <w:tcPr>
            <w:tcW w:w="2977" w:type="dxa"/>
            <w:tcBorders>
              <w:left w:val="single" w:sz="4" w:space="0" w:color="auto"/>
              <w:right w:val="single" w:sz="4" w:space="0" w:color="auto"/>
            </w:tcBorders>
            <w:shd w:val="clear" w:color="auto" w:fill="FFFF00"/>
            <w:tcMar>
              <w:left w:w="108" w:type="dxa"/>
            </w:tcMar>
            <w:vAlign w:val="center"/>
          </w:tcPr>
          <w:p w14:paraId="04F39A39" w14:textId="4231D57E" w:rsidR="00637412" w:rsidRPr="007D04CB" w:rsidRDefault="00637412" w:rsidP="005A5B43">
            <w:pPr>
              <w:ind w:left="360"/>
              <w:jc w:val="center"/>
              <w:rPr>
                <w:lang w:val="en-GB"/>
              </w:rPr>
            </w:pPr>
            <w:r w:rsidRPr="007D04CB">
              <w:rPr>
                <w:lang w:val="en-GB"/>
              </w:rPr>
              <w:t xml:space="preserve">26 </w:t>
            </w:r>
            <w:r w:rsidR="001422ED">
              <w:rPr>
                <w:lang w:val="en-GB"/>
              </w:rPr>
              <w:t>–</w:t>
            </w:r>
            <w:r w:rsidRPr="007D04CB">
              <w:rPr>
                <w:lang w:val="en-GB"/>
              </w:rPr>
              <w:t xml:space="preserve"> 50</w:t>
            </w:r>
          </w:p>
        </w:tc>
      </w:tr>
      <w:tr w:rsidR="00637412" w14:paraId="69C39850" w14:textId="77777777" w:rsidTr="00FE590E">
        <w:tc>
          <w:tcPr>
            <w:tcW w:w="0" w:type="auto"/>
            <w:tcBorders>
              <w:left w:val="single" w:sz="4" w:space="0" w:color="auto"/>
              <w:right w:val="single" w:sz="4" w:space="0" w:color="auto"/>
            </w:tcBorders>
            <w:shd w:val="clear" w:color="auto" w:fill="92D050"/>
          </w:tcPr>
          <w:p w14:paraId="3882A8F1" w14:textId="77777777" w:rsidR="00637412" w:rsidRPr="007D04CB" w:rsidRDefault="00637412" w:rsidP="005A5B43">
            <w:pPr>
              <w:ind w:left="360"/>
              <w:jc w:val="center"/>
              <w:rPr>
                <w:lang w:val="en-GB"/>
              </w:rPr>
            </w:pPr>
            <w:r w:rsidRPr="007D04CB">
              <w:rPr>
                <w:lang w:val="en-GB"/>
              </w:rPr>
              <w:t>Medium</w:t>
            </w:r>
          </w:p>
        </w:tc>
        <w:tc>
          <w:tcPr>
            <w:tcW w:w="2977" w:type="dxa"/>
            <w:tcBorders>
              <w:left w:val="single" w:sz="4" w:space="0" w:color="auto"/>
              <w:right w:val="single" w:sz="4" w:space="0" w:color="auto"/>
            </w:tcBorders>
            <w:shd w:val="clear" w:color="auto" w:fill="92D050"/>
            <w:tcMar>
              <w:left w:w="108" w:type="dxa"/>
            </w:tcMar>
            <w:vAlign w:val="center"/>
          </w:tcPr>
          <w:p w14:paraId="0797E89E" w14:textId="5A781D13" w:rsidR="00637412" w:rsidRPr="007D04CB" w:rsidRDefault="00637412" w:rsidP="005A5B43">
            <w:pPr>
              <w:ind w:left="360"/>
              <w:jc w:val="center"/>
              <w:rPr>
                <w:lang w:val="en-GB"/>
              </w:rPr>
            </w:pPr>
            <w:r w:rsidRPr="007D04CB">
              <w:rPr>
                <w:lang w:val="en-GB"/>
              </w:rPr>
              <w:t xml:space="preserve">51 </w:t>
            </w:r>
            <w:r w:rsidR="001422ED">
              <w:rPr>
                <w:lang w:val="en-GB"/>
              </w:rPr>
              <w:t>–</w:t>
            </w:r>
            <w:r w:rsidRPr="007D04CB">
              <w:rPr>
                <w:lang w:val="en-GB"/>
              </w:rPr>
              <w:t xml:space="preserve"> 75</w:t>
            </w:r>
          </w:p>
        </w:tc>
      </w:tr>
      <w:tr w:rsidR="00637412" w14:paraId="1AAD4B2B" w14:textId="77777777" w:rsidTr="00FE590E">
        <w:tc>
          <w:tcPr>
            <w:tcW w:w="0" w:type="auto"/>
            <w:tcBorders>
              <w:left w:val="single" w:sz="4" w:space="0" w:color="auto"/>
              <w:bottom w:val="single" w:sz="4" w:space="0" w:color="auto"/>
              <w:right w:val="single" w:sz="4" w:space="0" w:color="auto"/>
            </w:tcBorders>
            <w:shd w:val="clear" w:color="auto" w:fill="B4C6E7" w:themeFill="accent1" w:themeFillTint="66"/>
          </w:tcPr>
          <w:p w14:paraId="0FB727A2" w14:textId="77777777" w:rsidR="00637412" w:rsidRPr="007D04CB" w:rsidRDefault="00637412" w:rsidP="005A5B43">
            <w:pPr>
              <w:ind w:left="360"/>
              <w:jc w:val="center"/>
              <w:rPr>
                <w:lang w:val="en-GB"/>
              </w:rPr>
            </w:pPr>
            <w:r w:rsidRPr="007D04CB">
              <w:rPr>
                <w:lang w:val="en-GB"/>
              </w:rPr>
              <w:t>High</w:t>
            </w:r>
          </w:p>
        </w:tc>
        <w:tc>
          <w:tcPr>
            <w:tcW w:w="2977" w:type="dxa"/>
            <w:tcBorders>
              <w:left w:val="single" w:sz="4" w:space="0" w:color="auto"/>
              <w:bottom w:val="single" w:sz="4" w:space="0" w:color="auto"/>
              <w:right w:val="single" w:sz="4" w:space="0" w:color="auto"/>
            </w:tcBorders>
            <w:shd w:val="clear" w:color="auto" w:fill="B4C6E7" w:themeFill="accent1" w:themeFillTint="66"/>
            <w:tcMar>
              <w:left w:w="108" w:type="dxa"/>
            </w:tcMar>
            <w:vAlign w:val="center"/>
          </w:tcPr>
          <w:p w14:paraId="00781AEB" w14:textId="77777777" w:rsidR="00637412" w:rsidRPr="007D04CB" w:rsidRDefault="00637412" w:rsidP="005A5B43">
            <w:pPr>
              <w:ind w:left="360"/>
              <w:jc w:val="center"/>
              <w:rPr>
                <w:lang w:val="en-GB"/>
              </w:rPr>
            </w:pPr>
            <w:r w:rsidRPr="007D04CB">
              <w:rPr>
                <w:lang w:val="en-GB"/>
              </w:rPr>
              <w:t>76 - 100</w:t>
            </w:r>
          </w:p>
        </w:tc>
      </w:tr>
    </w:tbl>
    <w:p w14:paraId="1F7C158F" w14:textId="709A6183" w:rsidR="00637412" w:rsidRPr="007D04CB" w:rsidRDefault="00637412" w:rsidP="00637412">
      <w:pPr>
        <w:rPr>
          <w:shd w:val="clear" w:color="auto" w:fill="FFFFFF"/>
          <w:lang w:val="en-GB"/>
        </w:rPr>
      </w:pPr>
    </w:p>
    <w:p w14:paraId="4FB5213E" w14:textId="6A29CAFD" w:rsidR="001422ED" w:rsidRPr="001422ED" w:rsidRDefault="001422ED" w:rsidP="00637412">
      <w:pPr>
        <w:rPr>
          <w:shd w:val="clear" w:color="auto" w:fill="FFFFFF"/>
          <w:lang w:val="en-GB"/>
        </w:rPr>
      </w:pPr>
      <w:r>
        <w:rPr>
          <w:b/>
          <w:shd w:val="clear" w:color="auto" w:fill="FFFFFF"/>
          <w:lang w:val="en-GB"/>
        </w:rPr>
        <w:t>Forecasted value</w:t>
      </w:r>
      <w:r>
        <w:rPr>
          <w:shd w:val="clear" w:color="auto" w:fill="FFFFFF"/>
          <w:lang w:val="en-GB"/>
        </w:rPr>
        <w:t>: The most likely value for this variable, in terms of a single number rather than a class.</w:t>
      </w:r>
    </w:p>
    <w:p w14:paraId="7653E022" w14:textId="6D0E1128" w:rsidR="00637412" w:rsidRPr="007D04CB" w:rsidRDefault="00637412" w:rsidP="00637412">
      <w:pPr>
        <w:rPr>
          <w:shd w:val="clear" w:color="auto" w:fill="FFFFFF"/>
          <w:lang w:val="en-GB"/>
        </w:rPr>
      </w:pPr>
      <w:r w:rsidRPr="007D04CB">
        <w:rPr>
          <w:b/>
          <w:shd w:val="clear" w:color="auto" w:fill="FFFFFF"/>
          <w:lang w:val="en-GB"/>
        </w:rPr>
        <w:t xml:space="preserve">Historic skill </w:t>
      </w:r>
      <w:r w:rsidRPr="007D04CB">
        <w:rPr>
          <w:shd w:val="clear" w:color="auto" w:fill="FFFFFF"/>
          <w:lang w:val="en-GB"/>
        </w:rPr>
        <w:t xml:space="preserve">statistics: These summarise how well </w:t>
      </w:r>
      <w:r w:rsidR="001422ED">
        <w:rPr>
          <w:shd w:val="clear" w:color="auto" w:fill="FFFFFF"/>
          <w:lang w:val="en-GB"/>
        </w:rPr>
        <w:t xml:space="preserve">forecasts </w:t>
      </w:r>
      <w:r w:rsidRPr="007D04CB">
        <w:rPr>
          <w:shd w:val="clear" w:color="auto" w:fill="FFFFFF"/>
          <w:lang w:val="en-GB"/>
        </w:rPr>
        <w:t xml:space="preserve">performed </w:t>
      </w:r>
      <w:r w:rsidR="001422ED">
        <w:rPr>
          <w:shd w:val="clear" w:color="auto" w:fill="FFFFFF"/>
          <w:lang w:val="en-GB"/>
        </w:rPr>
        <w:t xml:space="preserve">over </w:t>
      </w:r>
      <w:r w:rsidRPr="007D04CB">
        <w:rPr>
          <w:shd w:val="clear" w:color="auto" w:fill="FFFFFF"/>
          <w:lang w:val="en-GB"/>
        </w:rPr>
        <w:t>a historic period (1981-2019</w:t>
      </w:r>
      <w:r w:rsidR="00FE590E">
        <w:rPr>
          <w:shd w:val="clear" w:color="auto" w:fill="FFFFFF"/>
          <w:lang w:val="en-GB"/>
        </w:rPr>
        <w:t>; 1996-2019</w:t>
      </w:r>
      <w:r w:rsidRPr="007D04CB">
        <w:rPr>
          <w:shd w:val="clear" w:color="auto" w:fill="FFFFFF"/>
          <w:lang w:val="en-GB"/>
        </w:rPr>
        <w:t xml:space="preserve"> for cyanobacteria), compared to lake observations</w:t>
      </w:r>
      <w:r w:rsidR="001422ED">
        <w:rPr>
          <w:shd w:val="clear" w:color="auto" w:fill="FFFFFF"/>
          <w:lang w:val="en-GB"/>
        </w:rPr>
        <w:t xml:space="preserve"> during that time</w:t>
      </w:r>
      <w:r w:rsidRPr="007D04CB">
        <w:rPr>
          <w:shd w:val="clear" w:color="auto" w:fill="FFFFFF"/>
          <w:lang w:val="en-GB"/>
        </w:rPr>
        <w:t>. The following statistics are reported:</w:t>
      </w:r>
    </w:p>
    <w:p w14:paraId="0ACA5DFF" w14:textId="2B803438" w:rsidR="00637412" w:rsidRDefault="00637412" w:rsidP="001422ED">
      <w:pPr>
        <w:pStyle w:val="ListParagraph"/>
        <w:numPr>
          <w:ilvl w:val="0"/>
          <w:numId w:val="1"/>
        </w:numPr>
        <w:spacing w:after="120"/>
        <w:ind w:left="357" w:hanging="357"/>
        <w:contextualSpacing w:val="0"/>
        <w:rPr>
          <w:shd w:val="clear" w:color="auto" w:fill="FFFFFF"/>
          <w:lang w:val="en-GB"/>
        </w:rPr>
      </w:pPr>
      <w:r w:rsidRPr="007D04CB">
        <w:rPr>
          <w:b/>
          <w:shd w:val="clear" w:color="auto" w:fill="FFFFFF"/>
          <w:lang w:val="en-GB"/>
        </w:rPr>
        <w:t>RMSE</w:t>
      </w:r>
      <w:r w:rsidRPr="007D04CB">
        <w:rPr>
          <w:shd w:val="clear" w:color="auto" w:fill="FFFFFF"/>
          <w:lang w:val="en-GB"/>
        </w:rPr>
        <w:t xml:space="preserve">: root mean square error, the likely </w:t>
      </w:r>
      <w:r w:rsidR="001422ED">
        <w:rPr>
          <w:shd w:val="clear" w:color="auto" w:fill="FFFFFF"/>
          <w:lang w:val="en-GB"/>
        </w:rPr>
        <w:t>difference</w:t>
      </w:r>
      <w:r w:rsidRPr="007D04CB">
        <w:rPr>
          <w:shd w:val="clear" w:color="auto" w:fill="FFFFFF"/>
          <w:lang w:val="en-GB"/>
        </w:rPr>
        <w:t xml:space="preserve"> between </w:t>
      </w:r>
      <w:r w:rsidR="00FE590E">
        <w:rPr>
          <w:shd w:val="clear" w:color="auto" w:fill="FFFFFF"/>
          <w:lang w:val="en-GB"/>
        </w:rPr>
        <w:t xml:space="preserve">forecasted </w:t>
      </w:r>
      <w:r w:rsidR="001422ED">
        <w:rPr>
          <w:shd w:val="clear" w:color="auto" w:fill="FFFFFF"/>
          <w:lang w:val="en-GB"/>
        </w:rPr>
        <w:t xml:space="preserve">and observed </w:t>
      </w:r>
      <w:r w:rsidRPr="007D04CB">
        <w:rPr>
          <w:shd w:val="clear" w:color="auto" w:fill="FFFFFF"/>
          <w:lang w:val="en-GB"/>
        </w:rPr>
        <w:t>value</w:t>
      </w:r>
      <w:r w:rsidR="001422ED">
        <w:rPr>
          <w:shd w:val="clear" w:color="auto" w:fill="FFFFFF"/>
          <w:lang w:val="en-GB"/>
        </w:rPr>
        <w:t>s</w:t>
      </w:r>
      <w:r w:rsidRPr="007D04CB">
        <w:rPr>
          <w:shd w:val="clear" w:color="auto" w:fill="FFFFFF"/>
          <w:lang w:val="en-GB"/>
        </w:rPr>
        <w:t>.</w:t>
      </w:r>
      <w:r>
        <w:rPr>
          <w:shd w:val="clear" w:color="auto" w:fill="FFFFFF"/>
          <w:lang w:val="en-GB"/>
        </w:rPr>
        <w:t xml:space="preserve"> Smaller </w:t>
      </w:r>
      <w:r w:rsidR="001422ED">
        <w:rPr>
          <w:shd w:val="clear" w:color="auto" w:fill="FFFFFF"/>
          <w:lang w:val="en-GB"/>
        </w:rPr>
        <w:t>RMSE is</w:t>
      </w:r>
      <w:r>
        <w:rPr>
          <w:shd w:val="clear" w:color="auto" w:fill="FFFFFF"/>
          <w:lang w:val="en-GB"/>
        </w:rPr>
        <w:t xml:space="preserve"> better</w:t>
      </w:r>
      <w:r w:rsidR="001422ED">
        <w:rPr>
          <w:shd w:val="clear" w:color="auto" w:fill="FFFFFF"/>
          <w:lang w:val="en-GB"/>
        </w:rPr>
        <w:t>, and t</w:t>
      </w:r>
      <w:r>
        <w:rPr>
          <w:shd w:val="clear" w:color="auto" w:fill="FFFFFF"/>
          <w:lang w:val="en-GB"/>
        </w:rPr>
        <w:t xml:space="preserve">he bigger the RMSE compared to the </w:t>
      </w:r>
      <w:r w:rsidR="001422ED">
        <w:rPr>
          <w:shd w:val="clear" w:color="auto" w:fill="FFFFFF"/>
          <w:lang w:val="en-GB"/>
        </w:rPr>
        <w:t xml:space="preserve">forecasted </w:t>
      </w:r>
      <w:r>
        <w:rPr>
          <w:shd w:val="clear" w:color="auto" w:fill="FFFFFF"/>
          <w:lang w:val="en-GB"/>
        </w:rPr>
        <w:t>value, the less certain the predictions.</w:t>
      </w:r>
    </w:p>
    <w:p w14:paraId="1084AF38" w14:textId="70601F1C" w:rsidR="00637412" w:rsidRDefault="00637412" w:rsidP="001422ED">
      <w:pPr>
        <w:pStyle w:val="ListParagraph"/>
        <w:numPr>
          <w:ilvl w:val="0"/>
          <w:numId w:val="1"/>
        </w:numPr>
        <w:spacing w:after="120"/>
        <w:ind w:left="357" w:hanging="357"/>
        <w:contextualSpacing w:val="0"/>
        <w:rPr>
          <w:shd w:val="clear" w:color="auto" w:fill="FFFFFF"/>
          <w:lang w:val="en-GB"/>
        </w:rPr>
      </w:pPr>
      <w:r w:rsidRPr="007D04CB">
        <w:rPr>
          <w:b/>
          <w:shd w:val="clear" w:color="auto" w:fill="FFFFFF"/>
          <w:lang w:val="en-GB"/>
        </w:rPr>
        <w:t>Classification error</w:t>
      </w:r>
      <w:r w:rsidRPr="007D04CB">
        <w:rPr>
          <w:shd w:val="clear" w:color="auto" w:fill="FFFFFF"/>
          <w:lang w:val="en-GB"/>
        </w:rPr>
        <w:t xml:space="preserve">: The percentage of </w:t>
      </w:r>
      <w:r w:rsidR="00FE590E">
        <w:rPr>
          <w:shd w:val="clear" w:color="auto" w:fill="FFFFFF"/>
          <w:lang w:val="en-GB"/>
        </w:rPr>
        <w:t xml:space="preserve">time </w:t>
      </w:r>
      <w:r w:rsidRPr="007D04CB">
        <w:rPr>
          <w:shd w:val="clear" w:color="auto" w:fill="FFFFFF"/>
          <w:lang w:val="en-GB"/>
        </w:rPr>
        <w:t xml:space="preserve">the model </w:t>
      </w:r>
      <w:r w:rsidR="00FE590E">
        <w:rPr>
          <w:shd w:val="clear" w:color="auto" w:fill="FFFFFF"/>
          <w:lang w:val="en-GB"/>
        </w:rPr>
        <w:t xml:space="preserve">predicted the class </w:t>
      </w:r>
      <w:r w:rsidRPr="007D04CB">
        <w:rPr>
          <w:shd w:val="clear" w:color="auto" w:fill="FFFFFF"/>
          <w:lang w:val="en-GB"/>
        </w:rPr>
        <w:t xml:space="preserve">incorrectly </w:t>
      </w:r>
      <w:r w:rsidR="00FE590E" w:rsidRPr="007D04CB">
        <w:rPr>
          <w:shd w:val="clear" w:color="auto" w:fill="FFFFFF"/>
          <w:lang w:val="en-GB"/>
        </w:rPr>
        <w:t>during the historic perio</w:t>
      </w:r>
      <w:r w:rsidR="00FE590E">
        <w:rPr>
          <w:shd w:val="clear" w:color="auto" w:fill="FFFFFF"/>
          <w:lang w:val="en-GB"/>
        </w:rPr>
        <w:t>d</w:t>
      </w:r>
      <w:r w:rsidRPr="007D04CB">
        <w:rPr>
          <w:shd w:val="clear" w:color="auto" w:fill="FFFFFF"/>
          <w:lang w:val="en-GB"/>
        </w:rPr>
        <w:t xml:space="preserve">. We might expect similar </w:t>
      </w:r>
      <w:r w:rsidR="00FE590E">
        <w:rPr>
          <w:shd w:val="clear" w:color="auto" w:fill="FFFFFF"/>
          <w:lang w:val="en-GB"/>
        </w:rPr>
        <w:t xml:space="preserve">classification </w:t>
      </w:r>
      <w:r w:rsidRPr="007D04CB">
        <w:rPr>
          <w:shd w:val="clear" w:color="auto" w:fill="FFFFFF"/>
          <w:lang w:val="en-GB"/>
        </w:rPr>
        <w:t>errors during the future</w:t>
      </w:r>
      <w:r w:rsidR="00FE590E">
        <w:rPr>
          <w:shd w:val="clear" w:color="auto" w:fill="FFFFFF"/>
          <w:lang w:val="en-GB"/>
        </w:rPr>
        <w:t>, given similar conditions to the historic period</w:t>
      </w:r>
      <w:r w:rsidRPr="007D04CB">
        <w:rPr>
          <w:shd w:val="clear" w:color="auto" w:fill="FFFFFF"/>
          <w:lang w:val="en-GB"/>
        </w:rPr>
        <w:t>.</w:t>
      </w:r>
    </w:p>
    <w:p w14:paraId="522F752F" w14:textId="226504EC" w:rsidR="00637412" w:rsidRPr="001422ED" w:rsidRDefault="00637412" w:rsidP="001422ED">
      <w:pPr>
        <w:pStyle w:val="ListParagraph"/>
        <w:numPr>
          <w:ilvl w:val="0"/>
          <w:numId w:val="1"/>
        </w:numPr>
        <w:spacing w:after="120"/>
        <w:rPr>
          <w:shd w:val="clear" w:color="auto" w:fill="FFFFFF"/>
          <w:lang w:val="en-GB"/>
        </w:rPr>
      </w:pPr>
      <w:r w:rsidRPr="001422ED">
        <w:rPr>
          <w:b/>
          <w:shd w:val="clear" w:color="auto" w:fill="FFFFFF"/>
          <w:lang w:val="en-GB"/>
        </w:rPr>
        <w:t>MCC</w:t>
      </w:r>
      <w:r w:rsidRPr="001422ED">
        <w:rPr>
          <w:shd w:val="clear" w:color="auto" w:fill="FFFFFF"/>
          <w:lang w:val="en-GB"/>
        </w:rPr>
        <w:t xml:space="preserve">: Matthews correlation coefficient, </w:t>
      </w:r>
      <w:r w:rsidR="00FE590E" w:rsidRPr="001422ED">
        <w:rPr>
          <w:shd w:val="clear" w:color="auto" w:fill="FFFFFF"/>
          <w:lang w:val="en-GB"/>
        </w:rPr>
        <w:t xml:space="preserve">a </w:t>
      </w:r>
      <w:r w:rsidRPr="001422ED">
        <w:rPr>
          <w:shd w:val="clear" w:color="auto" w:fill="FFFFFF"/>
          <w:lang w:val="en-GB"/>
        </w:rPr>
        <w:t>measur</w:t>
      </w:r>
      <w:r w:rsidR="00FE590E" w:rsidRPr="001422ED">
        <w:rPr>
          <w:shd w:val="clear" w:color="auto" w:fill="FFFFFF"/>
          <w:lang w:val="en-GB"/>
        </w:rPr>
        <w:t>e of</w:t>
      </w:r>
      <w:r w:rsidRPr="001422ED">
        <w:rPr>
          <w:shd w:val="clear" w:color="auto" w:fill="FFFFFF"/>
          <w:lang w:val="en-GB"/>
        </w:rPr>
        <w:t xml:space="preserve"> the overall accuracy of the classification model. Higher values are better: a value of +1 </w:t>
      </w:r>
      <w:r w:rsidR="001422ED" w:rsidRPr="001422ED">
        <w:rPr>
          <w:shd w:val="clear" w:color="auto" w:fill="FFFFFF"/>
          <w:lang w:val="en-GB"/>
        </w:rPr>
        <w:t xml:space="preserve">is </w:t>
      </w:r>
      <w:r w:rsidRPr="001422ED">
        <w:rPr>
          <w:shd w:val="clear" w:color="auto" w:fill="FFFFFF"/>
          <w:lang w:val="en-GB"/>
        </w:rPr>
        <w:t xml:space="preserve">a </w:t>
      </w:r>
      <w:r w:rsidR="00FE590E" w:rsidRPr="001422ED">
        <w:rPr>
          <w:shd w:val="clear" w:color="auto" w:fill="FFFFFF"/>
          <w:lang w:val="en-GB"/>
        </w:rPr>
        <w:t>very good model</w:t>
      </w:r>
      <w:r w:rsidRPr="001422ED">
        <w:rPr>
          <w:shd w:val="clear" w:color="auto" w:fill="FFFFFF"/>
          <w:lang w:val="en-GB"/>
        </w:rPr>
        <w:t xml:space="preserve">, 0 means no correlation between predictions and observations, -1 is a </w:t>
      </w:r>
      <w:r w:rsidR="00FE590E" w:rsidRPr="001422ED">
        <w:rPr>
          <w:shd w:val="clear" w:color="auto" w:fill="FFFFFF"/>
          <w:lang w:val="en-GB"/>
        </w:rPr>
        <w:t>very bad model</w:t>
      </w:r>
      <w:r w:rsidRPr="001422ED">
        <w:rPr>
          <w:shd w:val="clear" w:color="auto" w:fill="FFFFFF"/>
          <w:lang w:val="en-GB"/>
        </w:rPr>
        <w:t>.</w:t>
      </w:r>
      <w:r w:rsidR="001422ED">
        <w:rPr>
          <w:shd w:val="clear" w:color="auto" w:fill="FFFFFF"/>
          <w:lang w:val="en-GB"/>
        </w:rPr>
        <w:t xml:space="preserve"> </w:t>
      </w:r>
      <w:r w:rsidRPr="001422ED">
        <w:rPr>
          <w:shd w:val="clear" w:color="auto" w:fill="FFFFFF"/>
          <w:lang w:val="en-GB"/>
        </w:rPr>
        <w:t>The MCC was used to summarise the historic skill of the models</w:t>
      </w:r>
      <w:r w:rsidR="00FE590E" w:rsidRPr="001422ED">
        <w:rPr>
          <w:shd w:val="clear" w:color="auto" w:fill="FFFFFF"/>
          <w:lang w:val="en-GB"/>
        </w:rPr>
        <w:t xml:space="preserve"> according to </w:t>
      </w:r>
      <w:r w:rsidRPr="001422ED">
        <w:rPr>
          <w:shd w:val="clear" w:color="auto" w:fill="FFFFFF"/>
          <w:lang w:val="en-GB"/>
        </w:rPr>
        <w:t xml:space="preserve">the following qualitative </w:t>
      </w:r>
      <w:r w:rsidR="00FE590E" w:rsidRPr="001422ED">
        <w:rPr>
          <w:shd w:val="clear" w:color="auto" w:fill="FFFFFF"/>
          <w:lang w:val="en-GB"/>
        </w:rPr>
        <w:t>rules</w:t>
      </w:r>
      <w:r w:rsidRPr="001422ED">
        <w:rPr>
          <w:shd w:val="clear" w:color="auto" w:fill="FFFFFF"/>
          <w:lang w:val="en-GB"/>
        </w:rPr>
        <w:t>:</w:t>
      </w:r>
    </w:p>
    <w:tbl>
      <w:tblPr>
        <w:tblStyle w:val="TableGrid"/>
        <w:tblW w:w="0" w:type="auto"/>
        <w:tblInd w:w="421" w:type="dxa"/>
        <w:tblBorders>
          <w:insideH w:val="none" w:sz="0" w:space="0" w:color="auto"/>
          <w:insideV w:val="none" w:sz="0" w:space="0" w:color="auto"/>
        </w:tblBorders>
        <w:tblLook w:val="04A0" w:firstRow="1" w:lastRow="0" w:firstColumn="1" w:lastColumn="0" w:noHBand="0" w:noVBand="1"/>
      </w:tblPr>
      <w:tblGrid>
        <w:gridCol w:w="1271"/>
        <w:gridCol w:w="1701"/>
      </w:tblGrid>
      <w:tr w:rsidR="00637412" w:rsidRPr="00FE590E" w14:paraId="1C69B1CA" w14:textId="77777777" w:rsidTr="00FE590E">
        <w:trPr>
          <w:trHeight w:val="340"/>
        </w:trPr>
        <w:tc>
          <w:tcPr>
            <w:tcW w:w="1271" w:type="dxa"/>
            <w:tcBorders>
              <w:top w:val="single" w:sz="4" w:space="0" w:color="auto"/>
              <w:bottom w:val="single" w:sz="4" w:space="0" w:color="auto"/>
              <w:right w:val="single" w:sz="4" w:space="0" w:color="auto"/>
            </w:tcBorders>
            <w:vAlign w:val="center"/>
          </w:tcPr>
          <w:p w14:paraId="01AF7BB9" w14:textId="77777777" w:rsidR="00637412" w:rsidRPr="00FE590E" w:rsidRDefault="00637412" w:rsidP="00FE590E">
            <w:pPr>
              <w:jc w:val="center"/>
              <w:rPr>
                <w:rFonts w:cs="Arial"/>
                <w:color w:val="242729"/>
                <w:szCs w:val="20"/>
              </w:rPr>
            </w:pPr>
            <w:r w:rsidRPr="00FE590E">
              <w:rPr>
                <w:rFonts w:cs="Arial"/>
                <w:color w:val="242729"/>
                <w:szCs w:val="20"/>
              </w:rPr>
              <w:t>MCC</w:t>
            </w:r>
          </w:p>
        </w:tc>
        <w:tc>
          <w:tcPr>
            <w:tcW w:w="1701" w:type="dxa"/>
            <w:tcBorders>
              <w:top w:val="single" w:sz="4" w:space="0" w:color="auto"/>
              <w:left w:val="single" w:sz="4" w:space="0" w:color="auto"/>
              <w:bottom w:val="single" w:sz="4" w:space="0" w:color="auto"/>
            </w:tcBorders>
            <w:vAlign w:val="center"/>
          </w:tcPr>
          <w:p w14:paraId="442A0E0C" w14:textId="77777777" w:rsidR="00637412" w:rsidRPr="00FE590E" w:rsidRDefault="00637412" w:rsidP="00FE590E">
            <w:pPr>
              <w:jc w:val="center"/>
              <w:rPr>
                <w:rFonts w:cs="Arial"/>
                <w:color w:val="242729"/>
                <w:szCs w:val="20"/>
              </w:rPr>
            </w:pPr>
            <w:r w:rsidRPr="00FE590E">
              <w:rPr>
                <w:rFonts w:cs="Arial"/>
                <w:color w:val="242729"/>
                <w:szCs w:val="20"/>
              </w:rPr>
              <w:t>Historic skill</w:t>
            </w:r>
          </w:p>
        </w:tc>
      </w:tr>
      <w:tr w:rsidR="00637412" w:rsidRPr="00E87DEF" w14:paraId="755030D8" w14:textId="77777777" w:rsidTr="00FE590E">
        <w:tc>
          <w:tcPr>
            <w:tcW w:w="1271" w:type="dxa"/>
            <w:tcBorders>
              <w:top w:val="single" w:sz="4" w:space="0" w:color="auto"/>
              <w:right w:val="single" w:sz="4" w:space="0" w:color="auto"/>
            </w:tcBorders>
            <w:shd w:val="clear" w:color="auto" w:fill="D9D9D9" w:themeFill="background1" w:themeFillShade="D9"/>
            <w:vAlign w:val="center"/>
          </w:tcPr>
          <w:p w14:paraId="1DD64B2E" w14:textId="77777777" w:rsidR="00637412" w:rsidRPr="00E87DEF" w:rsidRDefault="00637412" w:rsidP="00FE590E">
            <w:pPr>
              <w:jc w:val="center"/>
              <w:rPr>
                <w:rFonts w:cs="Arial"/>
                <w:color w:val="242729"/>
                <w:szCs w:val="20"/>
              </w:rPr>
            </w:pPr>
            <w:r w:rsidRPr="00E87DEF">
              <w:rPr>
                <w:rFonts w:cs="Arial"/>
                <w:color w:val="242729"/>
                <w:szCs w:val="20"/>
              </w:rPr>
              <w:t>&lt;0.2</w:t>
            </w:r>
          </w:p>
        </w:tc>
        <w:tc>
          <w:tcPr>
            <w:tcW w:w="1701" w:type="dxa"/>
            <w:tcBorders>
              <w:top w:val="single" w:sz="4" w:space="0" w:color="auto"/>
              <w:left w:val="single" w:sz="4" w:space="0" w:color="auto"/>
            </w:tcBorders>
            <w:shd w:val="clear" w:color="auto" w:fill="D9D9D9" w:themeFill="background1" w:themeFillShade="D9"/>
            <w:vAlign w:val="center"/>
          </w:tcPr>
          <w:p w14:paraId="410EF169" w14:textId="77777777" w:rsidR="00637412" w:rsidRPr="00E87DEF" w:rsidRDefault="00637412" w:rsidP="00FE590E">
            <w:pPr>
              <w:jc w:val="center"/>
              <w:rPr>
                <w:rFonts w:cs="Arial"/>
                <w:color w:val="242729"/>
                <w:szCs w:val="20"/>
              </w:rPr>
            </w:pPr>
            <w:r w:rsidRPr="00E87DEF">
              <w:rPr>
                <w:rFonts w:cs="Arial"/>
                <w:color w:val="242729"/>
                <w:szCs w:val="20"/>
              </w:rPr>
              <w:t>No</w:t>
            </w:r>
            <w:r>
              <w:rPr>
                <w:rFonts w:cs="Arial"/>
                <w:color w:val="242729"/>
                <w:szCs w:val="20"/>
              </w:rPr>
              <w:t>ne</w:t>
            </w:r>
          </w:p>
        </w:tc>
      </w:tr>
      <w:tr w:rsidR="00637412" w:rsidRPr="00E87DEF" w14:paraId="43EF9FE8" w14:textId="77777777" w:rsidTr="00FE590E">
        <w:tc>
          <w:tcPr>
            <w:tcW w:w="1271" w:type="dxa"/>
            <w:tcBorders>
              <w:right w:val="single" w:sz="4" w:space="0" w:color="auto"/>
            </w:tcBorders>
            <w:shd w:val="clear" w:color="auto" w:fill="FFFF00"/>
            <w:vAlign w:val="center"/>
          </w:tcPr>
          <w:p w14:paraId="206EB74C" w14:textId="77777777" w:rsidR="00637412" w:rsidRPr="00E87DEF" w:rsidRDefault="00637412" w:rsidP="00FE590E">
            <w:pPr>
              <w:jc w:val="center"/>
              <w:rPr>
                <w:rFonts w:cs="Arial"/>
                <w:color w:val="242729"/>
                <w:szCs w:val="20"/>
              </w:rPr>
            </w:pPr>
            <w:r w:rsidRPr="00E87DEF">
              <w:rPr>
                <w:rFonts w:cs="Arial"/>
                <w:color w:val="242729"/>
                <w:szCs w:val="20"/>
              </w:rPr>
              <w:t xml:space="preserve">0.2 </w:t>
            </w:r>
            <w:r>
              <w:rPr>
                <w:rFonts w:cs="Arial"/>
                <w:color w:val="242729"/>
                <w:szCs w:val="20"/>
              </w:rPr>
              <w:t xml:space="preserve">– </w:t>
            </w:r>
            <w:r w:rsidRPr="00E87DEF">
              <w:rPr>
                <w:rFonts w:cs="Arial"/>
                <w:color w:val="242729"/>
                <w:szCs w:val="20"/>
              </w:rPr>
              <w:t>0.</w:t>
            </w:r>
            <w:r>
              <w:rPr>
                <w:rFonts w:cs="Arial"/>
                <w:color w:val="242729"/>
                <w:szCs w:val="20"/>
              </w:rPr>
              <w:t>3</w:t>
            </w:r>
            <w:r w:rsidRPr="00E87DEF">
              <w:rPr>
                <w:rFonts w:cs="Arial"/>
                <w:color w:val="242729"/>
                <w:szCs w:val="20"/>
              </w:rPr>
              <w:t>9</w:t>
            </w:r>
          </w:p>
        </w:tc>
        <w:tc>
          <w:tcPr>
            <w:tcW w:w="1701" w:type="dxa"/>
            <w:tcBorders>
              <w:left w:val="single" w:sz="4" w:space="0" w:color="auto"/>
            </w:tcBorders>
            <w:shd w:val="clear" w:color="auto" w:fill="FFFF00"/>
            <w:vAlign w:val="center"/>
          </w:tcPr>
          <w:p w14:paraId="527A9694" w14:textId="77777777" w:rsidR="00637412" w:rsidRPr="00E87DEF" w:rsidRDefault="00637412" w:rsidP="00FE590E">
            <w:pPr>
              <w:jc w:val="center"/>
              <w:rPr>
                <w:rFonts w:cs="Arial"/>
                <w:color w:val="242729"/>
                <w:szCs w:val="20"/>
              </w:rPr>
            </w:pPr>
            <w:r>
              <w:rPr>
                <w:rFonts w:cs="Arial"/>
                <w:color w:val="242729"/>
                <w:szCs w:val="20"/>
              </w:rPr>
              <w:t>Low</w:t>
            </w:r>
          </w:p>
        </w:tc>
      </w:tr>
      <w:tr w:rsidR="00637412" w:rsidRPr="00E87DEF" w14:paraId="329EE6CD" w14:textId="77777777" w:rsidTr="00FE590E">
        <w:tc>
          <w:tcPr>
            <w:tcW w:w="1271" w:type="dxa"/>
            <w:tcBorders>
              <w:right w:val="single" w:sz="4" w:space="0" w:color="auto"/>
            </w:tcBorders>
            <w:shd w:val="clear" w:color="auto" w:fill="92D050"/>
            <w:vAlign w:val="center"/>
          </w:tcPr>
          <w:p w14:paraId="5AD64F96" w14:textId="77777777" w:rsidR="00637412" w:rsidRPr="00E87DEF" w:rsidRDefault="00637412" w:rsidP="00FE590E">
            <w:pPr>
              <w:jc w:val="center"/>
              <w:rPr>
                <w:rFonts w:cs="Arial"/>
                <w:color w:val="242729"/>
                <w:szCs w:val="20"/>
              </w:rPr>
            </w:pPr>
            <w:r w:rsidRPr="00E87DEF">
              <w:rPr>
                <w:rFonts w:cs="Arial"/>
                <w:color w:val="242729"/>
                <w:szCs w:val="20"/>
              </w:rPr>
              <w:t>0.</w:t>
            </w:r>
            <w:r>
              <w:rPr>
                <w:rFonts w:cs="Arial"/>
                <w:color w:val="242729"/>
                <w:szCs w:val="20"/>
              </w:rPr>
              <w:t>4</w:t>
            </w:r>
            <w:r w:rsidRPr="00E87DEF">
              <w:rPr>
                <w:rFonts w:cs="Arial"/>
                <w:color w:val="242729"/>
                <w:szCs w:val="20"/>
              </w:rPr>
              <w:t xml:space="preserve"> </w:t>
            </w:r>
            <w:r>
              <w:rPr>
                <w:rFonts w:cs="Arial"/>
                <w:color w:val="242729"/>
                <w:szCs w:val="20"/>
              </w:rPr>
              <w:t>–</w:t>
            </w:r>
            <w:r w:rsidRPr="00E87DEF">
              <w:rPr>
                <w:rFonts w:cs="Arial"/>
                <w:color w:val="242729"/>
                <w:szCs w:val="20"/>
              </w:rPr>
              <w:t xml:space="preserve"> 0.</w:t>
            </w:r>
            <w:r>
              <w:rPr>
                <w:rFonts w:cs="Arial"/>
                <w:color w:val="242729"/>
                <w:szCs w:val="20"/>
              </w:rPr>
              <w:t>59</w:t>
            </w:r>
          </w:p>
        </w:tc>
        <w:tc>
          <w:tcPr>
            <w:tcW w:w="1701" w:type="dxa"/>
            <w:tcBorders>
              <w:left w:val="single" w:sz="4" w:space="0" w:color="auto"/>
            </w:tcBorders>
            <w:shd w:val="clear" w:color="auto" w:fill="92D050"/>
            <w:vAlign w:val="center"/>
          </w:tcPr>
          <w:p w14:paraId="6AB81232" w14:textId="77777777" w:rsidR="00637412" w:rsidRPr="00E87DEF" w:rsidRDefault="00637412" w:rsidP="00FE590E">
            <w:pPr>
              <w:jc w:val="center"/>
              <w:rPr>
                <w:rFonts w:cs="Arial"/>
                <w:color w:val="242729"/>
                <w:szCs w:val="20"/>
              </w:rPr>
            </w:pPr>
            <w:r w:rsidRPr="00E87DEF">
              <w:rPr>
                <w:rFonts w:cs="Arial"/>
                <w:color w:val="242729"/>
                <w:szCs w:val="20"/>
              </w:rPr>
              <w:t>M</w:t>
            </w:r>
            <w:r>
              <w:rPr>
                <w:rFonts w:cs="Arial"/>
                <w:color w:val="242729"/>
                <w:szCs w:val="20"/>
              </w:rPr>
              <w:t>edium</w:t>
            </w:r>
          </w:p>
        </w:tc>
      </w:tr>
      <w:tr w:rsidR="00637412" w:rsidRPr="00E87DEF" w14:paraId="19BF7A99" w14:textId="77777777" w:rsidTr="00FE590E">
        <w:tc>
          <w:tcPr>
            <w:tcW w:w="1271" w:type="dxa"/>
            <w:tcBorders>
              <w:right w:val="single" w:sz="4" w:space="0" w:color="auto"/>
            </w:tcBorders>
            <w:shd w:val="clear" w:color="auto" w:fill="B4C6E7" w:themeFill="accent1" w:themeFillTint="66"/>
            <w:vAlign w:val="center"/>
          </w:tcPr>
          <w:p w14:paraId="150909C3" w14:textId="77777777" w:rsidR="00637412" w:rsidRPr="00E87DEF" w:rsidRDefault="00637412" w:rsidP="00FE590E">
            <w:pPr>
              <w:jc w:val="center"/>
              <w:rPr>
                <w:rFonts w:cs="Arial"/>
                <w:color w:val="242729"/>
                <w:szCs w:val="20"/>
              </w:rPr>
            </w:pPr>
            <w:r>
              <w:rPr>
                <w:rFonts w:cs="Arial"/>
                <w:color w:val="242729"/>
                <w:szCs w:val="20"/>
              </w:rPr>
              <w:t>&gt;</w:t>
            </w:r>
            <w:r w:rsidRPr="00E87DEF">
              <w:rPr>
                <w:rFonts w:cs="Arial"/>
                <w:color w:val="242729"/>
                <w:szCs w:val="20"/>
              </w:rPr>
              <w:t>0.</w:t>
            </w:r>
            <w:r>
              <w:rPr>
                <w:rFonts w:cs="Arial"/>
                <w:color w:val="242729"/>
                <w:szCs w:val="20"/>
              </w:rPr>
              <w:t>6</w:t>
            </w:r>
          </w:p>
        </w:tc>
        <w:tc>
          <w:tcPr>
            <w:tcW w:w="1701" w:type="dxa"/>
            <w:tcBorders>
              <w:left w:val="single" w:sz="4" w:space="0" w:color="auto"/>
              <w:bottom w:val="single" w:sz="4" w:space="0" w:color="auto"/>
            </w:tcBorders>
            <w:shd w:val="clear" w:color="auto" w:fill="B4C6E7" w:themeFill="accent1" w:themeFillTint="66"/>
            <w:vAlign w:val="center"/>
          </w:tcPr>
          <w:p w14:paraId="16C835AA" w14:textId="77777777" w:rsidR="00637412" w:rsidRPr="00E87DEF" w:rsidRDefault="00637412" w:rsidP="00FE590E">
            <w:pPr>
              <w:jc w:val="center"/>
              <w:rPr>
                <w:rFonts w:cs="Arial"/>
                <w:color w:val="242729"/>
                <w:szCs w:val="20"/>
              </w:rPr>
            </w:pPr>
            <w:r>
              <w:rPr>
                <w:rFonts w:cs="Arial"/>
                <w:color w:val="242729"/>
                <w:szCs w:val="20"/>
              </w:rPr>
              <w:t>High</w:t>
            </w:r>
          </w:p>
        </w:tc>
      </w:tr>
    </w:tbl>
    <w:p w14:paraId="61CF1021" w14:textId="77777777" w:rsidR="00637412" w:rsidRDefault="00637412" w:rsidP="00637412">
      <w:pPr>
        <w:spacing w:after="0"/>
        <w:jc w:val="left"/>
        <w:rPr>
          <w:rFonts w:cs="Arial"/>
          <w:szCs w:val="20"/>
          <w:lang w:val="en-GB"/>
        </w:rPr>
      </w:pPr>
    </w:p>
    <w:p w14:paraId="5FAAA5F1" w14:textId="5BD166BA" w:rsidR="00637412" w:rsidRPr="007D04CB" w:rsidRDefault="00637412" w:rsidP="001422ED">
      <w:pPr>
        <w:spacing w:after="120"/>
        <w:jc w:val="left"/>
        <w:rPr>
          <w:rFonts w:cs="Arial"/>
          <w:szCs w:val="20"/>
          <w:lang w:val="en-GB"/>
        </w:rPr>
      </w:pPr>
      <w:r w:rsidRPr="007D04CB">
        <w:rPr>
          <w:rFonts w:cs="Arial"/>
          <w:b/>
          <w:szCs w:val="20"/>
          <w:lang w:val="en-GB"/>
        </w:rPr>
        <w:t>Forecast summary</w:t>
      </w:r>
      <w:r w:rsidRPr="007D04CB">
        <w:rPr>
          <w:rFonts w:cs="Arial"/>
          <w:szCs w:val="20"/>
          <w:lang w:val="en-GB"/>
        </w:rPr>
        <w:t xml:space="preserve">: </w:t>
      </w:r>
      <w:r w:rsidR="00974BDC">
        <w:rPr>
          <w:rFonts w:cs="Arial"/>
          <w:szCs w:val="20"/>
          <w:lang w:val="en-GB"/>
        </w:rPr>
        <w:t>t</w:t>
      </w:r>
      <w:r>
        <w:rPr>
          <w:rFonts w:cs="Arial"/>
          <w:szCs w:val="20"/>
          <w:lang w:val="en-GB"/>
        </w:rPr>
        <w:t xml:space="preserve">he most likely classification for the coming season, together with an indication of the overall confidence that can be placed in predictions. </w:t>
      </w:r>
      <w:r w:rsidRPr="007D04CB">
        <w:rPr>
          <w:rFonts w:cs="Arial"/>
          <w:szCs w:val="20"/>
          <w:lang w:val="en-GB"/>
        </w:rPr>
        <w:t>The overall confidence level is assessed as follows:</w:t>
      </w:r>
    </w:p>
    <w:p w14:paraId="30ACF43B" w14:textId="64935398" w:rsidR="00637412" w:rsidRDefault="00FE590E" w:rsidP="00886CA0">
      <w:pPr>
        <w:pStyle w:val="ListParagraph"/>
        <w:numPr>
          <w:ilvl w:val="0"/>
          <w:numId w:val="2"/>
        </w:numPr>
        <w:spacing w:after="0"/>
        <w:contextualSpacing w:val="0"/>
        <w:jc w:val="left"/>
        <w:rPr>
          <w:rFonts w:cs="Arial"/>
          <w:szCs w:val="20"/>
          <w:lang w:val="en-GB"/>
        </w:rPr>
      </w:pPr>
      <w:r>
        <w:rPr>
          <w:rFonts w:cs="Arial"/>
          <w:szCs w:val="20"/>
          <w:lang w:val="en-GB"/>
        </w:rPr>
        <w:t>I</w:t>
      </w:r>
      <w:r w:rsidR="00886CA0">
        <w:rPr>
          <w:rFonts w:cs="Arial"/>
          <w:szCs w:val="20"/>
          <w:lang w:val="en-GB"/>
        </w:rPr>
        <w:t xml:space="preserve">f class probabilities are ‘High’ and ‘Very low’, </w:t>
      </w:r>
      <w:r w:rsidR="00974BDC">
        <w:rPr>
          <w:rFonts w:cs="Arial"/>
          <w:szCs w:val="20"/>
          <w:lang w:val="en-GB"/>
        </w:rPr>
        <w:t xml:space="preserve">the </w:t>
      </w:r>
      <w:r w:rsidR="00637412" w:rsidRPr="00792681">
        <w:rPr>
          <w:rFonts w:cs="Arial"/>
          <w:szCs w:val="20"/>
          <w:lang w:val="en-GB"/>
        </w:rPr>
        <w:t>overall confidence is the same as the MCC historic skill.</w:t>
      </w:r>
    </w:p>
    <w:p w14:paraId="6BB4F8CB" w14:textId="30CB58F5" w:rsidR="002F4D5E" w:rsidRDefault="00637412" w:rsidP="00886CA0">
      <w:pPr>
        <w:pStyle w:val="ListParagraph"/>
        <w:numPr>
          <w:ilvl w:val="0"/>
          <w:numId w:val="2"/>
        </w:numPr>
        <w:spacing w:after="0"/>
        <w:jc w:val="left"/>
        <w:rPr>
          <w:rFonts w:cs="Arial"/>
          <w:szCs w:val="20"/>
          <w:lang w:val="en-GB"/>
        </w:rPr>
      </w:pPr>
      <w:r w:rsidRPr="002F4D5E">
        <w:rPr>
          <w:rFonts w:cs="Arial"/>
          <w:szCs w:val="20"/>
          <w:lang w:val="en-GB"/>
        </w:rPr>
        <w:t xml:space="preserve">If </w:t>
      </w:r>
      <w:r w:rsidR="00886CA0" w:rsidRPr="002F4D5E">
        <w:rPr>
          <w:rFonts w:cs="Arial"/>
          <w:szCs w:val="20"/>
          <w:lang w:val="en-GB"/>
        </w:rPr>
        <w:t xml:space="preserve">class probabilities are </w:t>
      </w:r>
      <w:r w:rsidRPr="002F4D5E">
        <w:rPr>
          <w:rFonts w:cs="Arial"/>
          <w:szCs w:val="20"/>
          <w:lang w:val="en-GB"/>
        </w:rPr>
        <w:t>‘</w:t>
      </w:r>
      <w:r w:rsidR="00974BDC" w:rsidRPr="002F4D5E">
        <w:rPr>
          <w:rFonts w:cs="Arial"/>
          <w:szCs w:val="20"/>
          <w:lang w:val="en-GB"/>
        </w:rPr>
        <w:t>Medium’</w:t>
      </w:r>
      <w:r w:rsidR="00886CA0" w:rsidRPr="002F4D5E">
        <w:rPr>
          <w:rFonts w:cs="Arial"/>
          <w:szCs w:val="20"/>
          <w:lang w:val="en-GB"/>
        </w:rPr>
        <w:t xml:space="preserve"> and </w:t>
      </w:r>
      <w:r w:rsidRPr="002F4D5E">
        <w:rPr>
          <w:rFonts w:cs="Arial"/>
          <w:szCs w:val="20"/>
          <w:lang w:val="en-GB"/>
        </w:rPr>
        <w:t>‘</w:t>
      </w:r>
      <w:r w:rsidR="00974BDC" w:rsidRPr="002F4D5E">
        <w:rPr>
          <w:rFonts w:cs="Arial"/>
          <w:szCs w:val="20"/>
          <w:lang w:val="en-GB"/>
        </w:rPr>
        <w:t>Low’</w:t>
      </w:r>
      <w:r w:rsidR="00886CA0" w:rsidRPr="002F4D5E">
        <w:rPr>
          <w:rFonts w:cs="Arial"/>
          <w:szCs w:val="20"/>
          <w:lang w:val="en-GB"/>
        </w:rPr>
        <w:t xml:space="preserve">, </w:t>
      </w:r>
      <w:r w:rsidRPr="002F4D5E">
        <w:rPr>
          <w:rFonts w:cs="Arial"/>
          <w:szCs w:val="20"/>
          <w:lang w:val="en-GB"/>
        </w:rPr>
        <w:t xml:space="preserve">then </w:t>
      </w:r>
      <w:r w:rsidR="00974BDC" w:rsidRPr="002F4D5E">
        <w:rPr>
          <w:rFonts w:cs="Arial"/>
          <w:szCs w:val="20"/>
          <w:lang w:val="en-GB"/>
        </w:rPr>
        <w:t>the</w:t>
      </w:r>
      <w:r w:rsidR="00886CA0" w:rsidRPr="002F4D5E">
        <w:rPr>
          <w:rFonts w:cs="Arial"/>
          <w:szCs w:val="20"/>
          <w:lang w:val="en-GB"/>
        </w:rPr>
        <w:t>re is lower confidence in the forecast</w:t>
      </w:r>
      <w:r w:rsidR="002F4D5E" w:rsidRPr="002F4D5E">
        <w:rPr>
          <w:rFonts w:cs="Arial"/>
          <w:szCs w:val="20"/>
          <w:lang w:val="en-GB"/>
        </w:rPr>
        <w:t xml:space="preserve">. If the </w:t>
      </w:r>
      <w:r w:rsidR="005D3796">
        <w:rPr>
          <w:rFonts w:cs="Arial"/>
          <w:szCs w:val="20"/>
          <w:lang w:val="en-GB"/>
        </w:rPr>
        <w:t xml:space="preserve">MCC </w:t>
      </w:r>
      <w:r w:rsidR="002F4D5E" w:rsidRPr="002F4D5E">
        <w:rPr>
          <w:rFonts w:cs="Arial"/>
          <w:szCs w:val="20"/>
          <w:lang w:val="en-GB"/>
        </w:rPr>
        <w:t xml:space="preserve">historic skill score is ‘Medium’ or ‘High’, </w:t>
      </w:r>
      <w:r w:rsidRPr="002F4D5E">
        <w:rPr>
          <w:rFonts w:cs="Arial"/>
          <w:szCs w:val="20"/>
          <w:lang w:val="en-GB"/>
        </w:rPr>
        <w:t xml:space="preserve">the overall confidence is </w:t>
      </w:r>
      <w:r w:rsidR="002F4D5E" w:rsidRPr="002F4D5E">
        <w:rPr>
          <w:rFonts w:cs="Arial"/>
          <w:szCs w:val="20"/>
          <w:lang w:val="en-GB"/>
        </w:rPr>
        <w:t>reduced by one (to ‘Low’ or ‘Medium’).</w:t>
      </w:r>
    </w:p>
    <w:p w14:paraId="22109B6A" w14:textId="73CBC798" w:rsidR="00886CA0" w:rsidRPr="002F4D5E" w:rsidRDefault="00886CA0" w:rsidP="00886CA0">
      <w:pPr>
        <w:pStyle w:val="ListParagraph"/>
        <w:numPr>
          <w:ilvl w:val="0"/>
          <w:numId w:val="2"/>
        </w:numPr>
        <w:spacing w:after="0"/>
        <w:jc w:val="left"/>
        <w:rPr>
          <w:rFonts w:cs="Arial"/>
          <w:szCs w:val="20"/>
          <w:lang w:val="en-GB"/>
        </w:rPr>
      </w:pPr>
      <w:r w:rsidRPr="002F4D5E">
        <w:rPr>
          <w:rFonts w:cs="Arial"/>
          <w:szCs w:val="20"/>
          <w:lang w:val="en-GB"/>
        </w:rPr>
        <w:t>For chl-a, the confidence level is always ‘Medium’. Historic skill was ‘High’, but because of a lack of class probability information it is reduced a level.</w:t>
      </w:r>
    </w:p>
    <w:p w14:paraId="65D50976" w14:textId="00EFE1D3" w:rsidR="001422ED" w:rsidRDefault="001422ED" w:rsidP="001422ED">
      <w:pPr>
        <w:spacing w:after="0"/>
        <w:jc w:val="left"/>
        <w:rPr>
          <w:rFonts w:cs="Arial"/>
          <w:szCs w:val="20"/>
          <w:lang w:val="en-GB"/>
        </w:rPr>
      </w:pPr>
    </w:p>
    <w:p w14:paraId="54E2073E" w14:textId="2324090E" w:rsidR="001422ED" w:rsidRDefault="001422ED" w:rsidP="001422ED">
      <w:pPr>
        <w:rPr>
          <w:rFonts w:cs="Arial"/>
          <w:b/>
          <w:color w:val="4472C4" w:themeColor="accent1"/>
          <w:sz w:val="22"/>
          <w:lang w:val="en-GB"/>
        </w:rPr>
      </w:pPr>
      <w:r>
        <w:rPr>
          <w:rFonts w:cs="Arial"/>
          <w:b/>
          <w:color w:val="4472C4" w:themeColor="accent1"/>
          <w:sz w:val="22"/>
          <w:lang w:val="en-GB"/>
        </w:rPr>
        <w:t>Models used to generate the forecast</w:t>
      </w:r>
    </w:p>
    <w:p w14:paraId="7408F1A4" w14:textId="73831F76" w:rsidR="00D012A6" w:rsidRDefault="00627802" w:rsidP="00ED435C">
      <w:pPr>
        <w:rPr>
          <w:shd w:val="clear" w:color="auto" w:fill="FFFFFF"/>
          <w:lang w:val="en-GB"/>
        </w:rPr>
      </w:pPr>
      <w:r>
        <w:rPr>
          <w:shd w:val="clear" w:color="auto" w:fill="FFFFFF"/>
          <w:lang w:val="en-GB"/>
        </w:rPr>
        <w:t>A</w:t>
      </w:r>
      <w:r w:rsidR="00D012A6">
        <w:rPr>
          <w:shd w:val="clear" w:color="auto" w:fill="FFFFFF"/>
          <w:lang w:val="en-GB"/>
        </w:rPr>
        <w:t xml:space="preserve"> number of </w:t>
      </w:r>
      <w:r>
        <w:rPr>
          <w:shd w:val="clear" w:color="auto" w:fill="FFFFFF"/>
          <w:lang w:val="en-GB"/>
        </w:rPr>
        <w:t xml:space="preserve">forecasting </w:t>
      </w:r>
      <w:r w:rsidR="00D012A6">
        <w:rPr>
          <w:shd w:val="clear" w:color="auto" w:fill="FFFFFF"/>
          <w:lang w:val="en-GB"/>
        </w:rPr>
        <w:t xml:space="preserve">models </w:t>
      </w:r>
      <w:r>
        <w:rPr>
          <w:shd w:val="clear" w:color="auto" w:fill="FFFFFF"/>
          <w:lang w:val="en-GB"/>
        </w:rPr>
        <w:t xml:space="preserve">were built </w:t>
      </w:r>
      <w:r w:rsidR="00D012A6">
        <w:rPr>
          <w:shd w:val="clear" w:color="auto" w:fill="FFFFFF"/>
          <w:lang w:val="en-GB"/>
        </w:rPr>
        <w:t>and their forecasting skill was compared during the historic period</w:t>
      </w:r>
      <w:r>
        <w:rPr>
          <w:shd w:val="clear" w:color="auto" w:fill="FFFFFF"/>
          <w:lang w:val="en-GB"/>
        </w:rPr>
        <w:t xml:space="preserve"> (1981-2019 for TP, colour and chl-a; 1996-2019 for cyanobacteria)</w:t>
      </w:r>
      <w:r w:rsidR="00D012A6">
        <w:rPr>
          <w:shd w:val="clear" w:color="auto" w:fill="FFFFFF"/>
          <w:lang w:val="en-GB"/>
        </w:rPr>
        <w:t xml:space="preserve">. </w:t>
      </w:r>
      <w:r>
        <w:rPr>
          <w:shd w:val="clear" w:color="auto" w:fill="FFFFFF"/>
          <w:lang w:val="en-GB"/>
        </w:rPr>
        <w:t>The following m</w:t>
      </w:r>
      <w:r w:rsidR="00D012A6">
        <w:rPr>
          <w:shd w:val="clear" w:color="auto" w:fill="FFFFFF"/>
          <w:lang w:val="en-GB"/>
        </w:rPr>
        <w:t xml:space="preserve">odels </w:t>
      </w:r>
      <w:r>
        <w:rPr>
          <w:shd w:val="clear" w:color="auto" w:fill="FFFFFF"/>
          <w:lang w:val="en-GB"/>
        </w:rPr>
        <w:t xml:space="preserve">were </w:t>
      </w:r>
      <w:r w:rsidR="00D012A6">
        <w:rPr>
          <w:shd w:val="clear" w:color="auto" w:fill="FFFFFF"/>
          <w:lang w:val="en-GB"/>
        </w:rPr>
        <w:t>considered</w:t>
      </w:r>
      <w:r>
        <w:rPr>
          <w:shd w:val="clear" w:color="auto" w:fill="FFFFFF"/>
          <w:lang w:val="en-GB"/>
        </w:rPr>
        <w:t>, in order of increasing complexity</w:t>
      </w:r>
      <w:r w:rsidR="00D012A6">
        <w:rPr>
          <w:shd w:val="clear" w:color="auto" w:fill="FFFFFF"/>
          <w:lang w:val="en-GB"/>
        </w:rPr>
        <w:t>:</w:t>
      </w:r>
    </w:p>
    <w:p w14:paraId="7D814B7A" w14:textId="1D797820" w:rsidR="00D012A6" w:rsidRDefault="00D012A6" w:rsidP="00AC4C6F">
      <w:pPr>
        <w:pStyle w:val="ListParagraph"/>
        <w:numPr>
          <w:ilvl w:val="0"/>
          <w:numId w:val="6"/>
        </w:numPr>
        <w:spacing w:after="120"/>
        <w:ind w:left="714" w:hanging="357"/>
        <w:contextualSpacing w:val="0"/>
        <w:rPr>
          <w:shd w:val="clear" w:color="auto" w:fill="FFFFFF"/>
          <w:lang w:val="en-GB"/>
        </w:rPr>
      </w:pPr>
      <w:r w:rsidRPr="00627802">
        <w:rPr>
          <w:shd w:val="clear" w:color="auto" w:fill="FFFFFF"/>
          <w:lang w:val="en-GB"/>
        </w:rPr>
        <w:t>Seasonal naïve forecast</w:t>
      </w:r>
      <w:r w:rsidR="00E52FDC">
        <w:rPr>
          <w:shd w:val="clear" w:color="auto" w:fill="FFFFFF"/>
          <w:lang w:val="en-GB"/>
        </w:rPr>
        <w:t>er</w:t>
      </w:r>
      <w:r w:rsidR="00627802" w:rsidRPr="00627802">
        <w:rPr>
          <w:shd w:val="clear" w:color="auto" w:fill="FFFFFF"/>
          <w:lang w:val="en-GB"/>
        </w:rPr>
        <w:t>: each forecast is simply the value observed during the previous summer.</w:t>
      </w:r>
    </w:p>
    <w:p w14:paraId="26F2482C" w14:textId="66324504" w:rsidR="00627802" w:rsidRDefault="00627802" w:rsidP="00AC4C6F">
      <w:pPr>
        <w:pStyle w:val="ListParagraph"/>
        <w:numPr>
          <w:ilvl w:val="0"/>
          <w:numId w:val="6"/>
        </w:numPr>
        <w:spacing w:after="120"/>
        <w:ind w:left="714" w:hanging="357"/>
        <w:contextualSpacing w:val="0"/>
        <w:rPr>
          <w:shd w:val="clear" w:color="auto" w:fill="FFFFFF"/>
          <w:lang w:val="en-GB"/>
        </w:rPr>
      </w:pPr>
      <w:r>
        <w:rPr>
          <w:shd w:val="clear" w:color="auto" w:fill="FFFFFF"/>
          <w:lang w:val="en-GB"/>
        </w:rPr>
        <w:t>Gaussian Bayesian</w:t>
      </w:r>
      <w:r w:rsidR="00E52FDC">
        <w:rPr>
          <w:shd w:val="clear" w:color="auto" w:fill="FFFFFF"/>
          <w:lang w:val="en-GB"/>
        </w:rPr>
        <w:t xml:space="preserve"> </w:t>
      </w:r>
      <w:r>
        <w:rPr>
          <w:shd w:val="clear" w:color="auto" w:fill="FFFFFF"/>
          <w:lang w:val="en-GB"/>
        </w:rPr>
        <w:t>Network (BN</w:t>
      </w:r>
      <w:r w:rsidR="00AC4C6F">
        <w:rPr>
          <w:shd w:val="clear" w:color="auto" w:fill="FFFFFF"/>
          <w:lang w:val="en-GB"/>
        </w:rPr>
        <w:t>; Figure 1</w:t>
      </w:r>
      <w:r w:rsidR="009C2EE2">
        <w:rPr>
          <w:shd w:val="clear" w:color="auto" w:fill="FFFFFF"/>
          <w:lang w:val="en-GB"/>
        </w:rPr>
        <w:t>, and see Box 1 for an introduction to BNs</w:t>
      </w:r>
      <w:r>
        <w:rPr>
          <w:shd w:val="clear" w:color="auto" w:fill="FFFFFF"/>
          <w:lang w:val="en-GB"/>
        </w:rPr>
        <w:t>), where meteorological conditions are set to the long-term average and kept constant when making predictions. This is equivalent to removing weather nodes from the BN structure shown in Figure 1.</w:t>
      </w:r>
    </w:p>
    <w:p w14:paraId="616626FB" w14:textId="318E9813" w:rsidR="00627802" w:rsidRDefault="009C2EE2" w:rsidP="00627802">
      <w:pPr>
        <w:pStyle w:val="ListParagraph"/>
        <w:numPr>
          <w:ilvl w:val="0"/>
          <w:numId w:val="6"/>
        </w:numPr>
        <w:rPr>
          <w:shd w:val="clear" w:color="auto" w:fill="FFFFFF"/>
          <w:lang w:val="en-GB"/>
        </w:rPr>
      </w:pPr>
      <w:r>
        <w:rPr>
          <w:shd w:val="clear" w:color="auto" w:fill="FFFFFF"/>
          <w:lang w:val="en-GB"/>
        </w:rPr>
        <w:t xml:space="preserve">Gaussian </w:t>
      </w:r>
      <w:r w:rsidR="00627802">
        <w:rPr>
          <w:shd w:val="clear" w:color="auto" w:fill="FFFFFF"/>
          <w:lang w:val="en-GB"/>
        </w:rPr>
        <w:t>BN</w:t>
      </w:r>
      <w:r w:rsidR="00AC4C6F">
        <w:rPr>
          <w:shd w:val="clear" w:color="auto" w:fill="FFFFFF"/>
          <w:lang w:val="en-GB"/>
        </w:rPr>
        <w:t xml:space="preserve"> (Figure 1)</w:t>
      </w:r>
      <w:r w:rsidR="00627802">
        <w:rPr>
          <w:shd w:val="clear" w:color="auto" w:fill="FFFFFF"/>
          <w:lang w:val="en-GB"/>
        </w:rPr>
        <w:t xml:space="preserve">, where observed (and for future projections, forecasted) meteorological data </w:t>
      </w:r>
      <w:r w:rsidR="008D2E86">
        <w:rPr>
          <w:shd w:val="clear" w:color="auto" w:fill="FFFFFF"/>
          <w:lang w:val="en-GB"/>
        </w:rPr>
        <w:t xml:space="preserve">are </w:t>
      </w:r>
      <w:r w:rsidR="00627802">
        <w:rPr>
          <w:shd w:val="clear" w:color="auto" w:fill="FFFFFF"/>
          <w:lang w:val="en-GB"/>
        </w:rPr>
        <w:t>included when making predictions</w:t>
      </w:r>
      <w:r w:rsidR="00AC4C6F">
        <w:rPr>
          <w:shd w:val="clear" w:color="auto" w:fill="FFFFFF"/>
          <w:lang w:val="en-GB"/>
        </w:rPr>
        <w:t>.</w:t>
      </w:r>
    </w:p>
    <w:p w14:paraId="78959381" w14:textId="77777777" w:rsidR="00AC4C6F" w:rsidRPr="00627802" w:rsidRDefault="00AC4C6F" w:rsidP="00AC4C6F">
      <w:pPr>
        <w:pStyle w:val="ListParagraph"/>
        <w:rPr>
          <w:shd w:val="clear" w:color="auto" w:fill="FFFFFF"/>
          <w:lang w:val="en-GB"/>
        </w:rPr>
      </w:pPr>
    </w:p>
    <w:p w14:paraId="7758BDB8" w14:textId="4BFD7F93" w:rsidR="00627802" w:rsidRDefault="00627802" w:rsidP="00627802">
      <w:pPr>
        <w:jc w:val="center"/>
        <w:rPr>
          <w:shd w:val="clear" w:color="auto" w:fill="FFFFFF"/>
          <w:lang w:val="en-GB"/>
        </w:rPr>
      </w:pPr>
      <w:r>
        <w:rPr>
          <w:noProof/>
        </w:rPr>
        <w:drawing>
          <wp:inline distT="0" distB="0" distL="0" distR="0" wp14:anchorId="730BDF2B" wp14:editId="297D6E4E">
            <wp:extent cx="5036884" cy="234172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8014" cy="2356200"/>
                    </a:xfrm>
                    <a:prstGeom prst="rect">
                      <a:avLst/>
                    </a:prstGeom>
                    <a:noFill/>
                    <a:ln>
                      <a:noFill/>
                    </a:ln>
                  </pic:spPr>
                </pic:pic>
              </a:graphicData>
            </a:graphic>
          </wp:inline>
        </w:drawing>
      </w:r>
    </w:p>
    <w:p w14:paraId="0B7ECD26" w14:textId="19D41E99" w:rsidR="00AC4C6F" w:rsidRPr="00627802" w:rsidRDefault="00627802" w:rsidP="00AC4C6F">
      <w:pPr>
        <w:ind w:left="1134" w:right="1132"/>
        <w:rPr>
          <w:sz w:val="18"/>
          <w:szCs w:val="18"/>
          <w:shd w:val="clear" w:color="auto" w:fill="FFFFFF"/>
          <w:lang w:val="en-GB"/>
        </w:rPr>
      </w:pPr>
      <w:r w:rsidRPr="00627802">
        <w:rPr>
          <w:b/>
          <w:sz w:val="18"/>
          <w:szCs w:val="18"/>
          <w:shd w:val="clear" w:color="auto" w:fill="FFFFFF"/>
          <w:lang w:val="en-GB"/>
        </w:rPr>
        <w:t>Figure 1</w:t>
      </w:r>
      <w:r w:rsidRPr="00627802">
        <w:rPr>
          <w:sz w:val="18"/>
          <w:szCs w:val="18"/>
          <w:shd w:val="clear" w:color="auto" w:fill="FFFFFF"/>
          <w:lang w:val="en-GB"/>
        </w:rPr>
        <w:t xml:space="preserve">: Bayesian Network (BN) structure used. </w:t>
      </w:r>
      <w:r w:rsidR="00AC4C6F">
        <w:rPr>
          <w:sz w:val="18"/>
          <w:szCs w:val="18"/>
          <w:shd w:val="clear" w:color="auto" w:fill="FFFFFF"/>
          <w:lang w:val="en-GB"/>
        </w:rPr>
        <w:t xml:space="preserve">See Box 1 for an </w:t>
      </w:r>
      <w:r w:rsidR="009C2EE2">
        <w:rPr>
          <w:sz w:val="18"/>
          <w:szCs w:val="18"/>
          <w:shd w:val="clear" w:color="auto" w:fill="FFFFFF"/>
          <w:lang w:val="en-GB"/>
        </w:rPr>
        <w:t xml:space="preserve">introduction to </w:t>
      </w:r>
      <w:r w:rsidR="00AC4C6F">
        <w:rPr>
          <w:sz w:val="18"/>
          <w:szCs w:val="18"/>
          <w:shd w:val="clear" w:color="auto" w:fill="FFFFFF"/>
          <w:lang w:val="en-GB"/>
        </w:rPr>
        <w:t>BNs.</w:t>
      </w:r>
    </w:p>
    <w:p w14:paraId="1D5B8016" w14:textId="37E8A1E9" w:rsidR="00AC4C6F" w:rsidRDefault="00AC4C6F" w:rsidP="00AC4C6F">
      <w:pPr>
        <w:rPr>
          <w:shd w:val="clear" w:color="auto" w:fill="FFFFFF"/>
          <w:lang w:val="en-GB"/>
        </w:rPr>
      </w:pPr>
      <w:r>
        <w:rPr>
          <w:shd w:val="clear" w:color="auto" w:fill="FFFFFF"/>
          <w:lang w:val="en-GB"/>
        </w:rPr>
        <w:t>Historic skill was assessed through leave-one-out cross validation and a combination of skill metrics (predictive correlation, rmse, classification error, Matthew’s correlation coefficient).</w:t>
      </w:r>
      <w:r w:rsidR="009C2EE2">
        <w:rPr>
          <w:shd w:val="clear" w:color="auto" w:fill="FFFFFF"/>
          <w:lang w:val="en-GB"/>
        </w:rPr>
        <w:t xml:space="preserve"> The model with the highest skill was then chosen for operational forecast</w:t>
      </w:r>
      <w:r w:rsidR="00E52FDC">
        <w:rPr>
          <w:shd w:val="clear" w:color="auto" w:fill="FFFFFF"/>
          <w:lang w:val="en-GB"/>
        </w:rPr>
        <w:t>ing</w:t>
      </w:r>
      <w:r w:rsidR="009C2EE2">
        <w:rPr>
          <w:shd w:val="clear" w:color="auto" w:fill="FFFFFF"/>
          <w:lang w:val="en-GB"/>
        </w:rPr>
        <w:t>, as follows:</w:t>
      </w:r>
    </w:p>
    <w:p w14:paraId="2DC63E3A" w14:textId="79A69657" w:rsidR="00AC4C6F" w:rsidRPr="00627802" w:rsidRDefault="00AC4C6F" w:rsidP="002E2092">
      <w:pPr>
        <w:pStyle w:val="ListParagraph"/>
        <w:numPr>
          <w:ilvl w:val="0"/>
          <w:numId w:val="5"/>
        </w:numPr>
        <w:spacing w:after="120"/>
        <w:ind w:left="714" w:hanging="357"/>
        <w:contextualSpacing w:val="0"/>
        <w:rPr>
          <w:shd w:val="clear" w:color="auto" w:fill="FFFFFF"/>
          <w:lang w:val="en-GB"/>
        </w:rPr>
      </w:pPr>
      <w:r w:rsidRPr="00627802">
        <w:rPr>
          <w:shd w:val="clear" w:color="auto" w:fill="FFFFFF"/>
          <w:lang w:val="en-GB"/>
        </w:rPr>
        <w:t>TP, cyanobacteria, colour: Gaussian BN</w:t>
      </w:r>
      <w:r>
        <w:rPr>
          <w:shd w:val="clear" w:color="auto" w:fill="FFFFFF"/>
          <w:lang w:val="en-GB"/>
        </w:rPr>
        <w:t xml:space="preserve"> (Figure 1), setting the meteorological nodes (mean wind speed and precipitation sum) to constant values, the ERA5-observed average for the historic period</w:t>
      </w:r>
    </w:p>
    <w:p w14:paraId="0DAB9C3C" w14:textId="20005689" w:rsidR="004C70DD" w:rsidRPr="00AC4C6F" w:rsidRDefault="00AC4C6F" w:rsidP="004C70DD">
      <w:pPr>
        <w:pStyle w:val="ListParagraph"/>
        <w:numPr>
          <w:ilvl w:val="0"/>
          <w:numId w:val="5"/>
        </w:numPr>
        <w:rPr>
          <w:shd w:val="clear" w:color="auto" w:fill="FFFFFF"/>
          <w:lang w:val="en-GB"/>
        </w:rPr>
      </w:pPr>
      <w:r w:rsidRPr="00627802">
        <w:rPr>
          <w:shd w:val="clear" w:color="auto" w:fill="FFFFFF"/>
          <w:lang w:val="en-GB"/>
        </w:rPr>
        <w:t>chl-a: seasonal naïve forecast</w:t>
      </w:r>
    </w:p>
    <w:p w14:paraId="4BD7CF91" w14:textId="67E8E61C" w:rsidR="00987BFD" w:rsidRDefault="009C2EE2" w:rsidP="001422ED">
      <w:pPr>
        <w:spacing w:after="0"/>
        <w:jc w:val="left"/>
        <w:rPr>
          <w:rFonts w:cs="Arial"/>
          <w:szCs w:val="20"/>
          <w:lang w:val="en-GB"/>
        </w:rPr>
      </w:pPr>
      <w:r w:rsidRPr="009C2EE2">
        <w:rPr>
          <w:rFonts w:cs="Arial"/>
          <w:b/>
          <w:szCs w:val="20"/>
          <w:lang w:val="en-GB"/>
        </w:rPr>
        <w:t>Note</w:t>
      </w:r>
      <w:r>
        <w:rPr>
          <w:rFonts w:cs="Arial"/>
          <w:szCs w:val="20"/>
          <w:lang w:val="en-GB"/>
        </w:rPr>
        <w:t>: the models chosen do not include any meteorological data information when making forecasts. The only data driving variation in forecasted values between years is the observed lake data from the previous year.</w:t>
      </w:r>
      <w:r w:rsidR="00987BFD">
        <w:rPr>
          <w:rFonts w:cs="Arial"/>
          <w:szCs w:val="20"/>
          <w:lang w:val="en-GB"/>
        </w:rPr>
        <w:t xml:space="preserve"> </w:t>
      </w:r>
      <w:r w:rsidR="002E2092">
        <w:rPr>
          <w:rFonts w:cs="Arial"/>
          <w:szCs w:val="20"/>
          <w:lang w:val="en-GB"/>
        </w:rPr>
        <w:t xml:space="preserve">At present, </w:t>
      </w:r>
      <w:r w:rsidR="00987BFD">
        <w:rPr>
          <w:rFonts w:cs="Arial"/>
          <w:szCs w:val="20"/>
          <w:lang w:val="en-GB"/>
        </w:rPr>
        <w:t>including meteorological information in the model reduced its predictive ability.</w:t>
      </w:r>
    </w:p>
    <w:p w14:paraId="6CD0A0D4" w14:textId="77777777" w:rsidR="002E2092" w:rsidRDefault="002E2092" w:rsidP="001422ED">
      <w:pPr>
        <w:spacing w:after="0"/>
        <w:jc w:val="left"/>
        <w:rPr>
          <w:rFonts w:cs="Arial"/>
          <w:szCs w:val="20"/>
          <w:lang w:val="en-GB"/>
        </w:rPr>
      </w:pPr>
    </w:p>
    <w:p w14:paraId="1E87399F" w14:textId="259889BD" w:rsidR="009C2EE2" w:rsidRDefault="002E2092" w:rsidP="001422ED">
      <w:pPr>
        <w:spacing w:after="0"/>
        <w:jc w:val="left"/>
        <w:rPr>
          <w:rFonts w:cs="Arial"/>
          <w:szCs w:val="20"/>
          <w:lang w:val="en-GB"/>
        </w:rPr>
      </w:pPr>
      <w:r w:rsidRPr="002E2092">
        <w:rPr>
          <w:rFonts w:cs="Arial"/>
          <w:noProof/>
          <w:szCs w:val="20"/>
          <w:lang w:val="en-GB"/>
        </w:rPr>
        <mc:AlternateContent>
          <mc:Choice Requires="wps">
            <w:drawing>
              <wp:inline distT="0" distB="0" distL="0" distR="0" wp14:anchorId="1100D190" wp14:editId="7D3A4CD7">
                <wp:extent cx="6481483" cy="2228370"/>
                <wp:effectExtent l="0" t="0" r="14605" b="1968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1483" cy="2228370"/>
                        </a:xfrm>
                        <a:prstGeom prst="rect">
                          <a:avLst/>
                        </a:prstGeom>
                        <a:solidFill>
                          <a:schemeClr val="accent5">
                            <a:lumMod val="20000"/>
                            <a:lumOff val="80000"/>
                          </a:schemeClr>
                        </a:solidFill>
                        <a:ln w="9525">
                          <a:solidFill>
                            <a:srgbClr val="000000"/>
                          </a:solidFill>
                          <a:miter lim="800000"/>
                          <a:headEnd/>
                          <a:tailEnd/>
                        </a:ln>
                      </wps:spPr>
                      <wps:txbx>
                        <w:txbxContent>
                          <w:p w14:paraId="3BAE0CAF" w14:textId="06E281BE" w:rsidR="002E2092" w:rsidRPr="004D0EE6" w:rsidRDefault="002E2092" w:rsidP="004D0EE6">
                            <w:pPr>
                              <w:rPr>
                                <w:b/>
                                <w:lang w:val="en-US"/>
                              </w:rPr>
                            </w:pPr>
                            <w:r w:rsidRPr="004D0EE6">
                              <w:rPr>
                                <w:b/>
                                <w:lang w:val="en-US"/>
                              </w:rPr>
                              <w:t>Box 1: Introduction to Bayesian Networks</w:t>
                            </w:r>
                          </w:p>
                          <w:p w14:paraId="63757CEB" w14:textId="57BB90B5" w:rsidR="004D0EE6" w:rsidRDefault="002E2092" w:rsidP="004D0EE6">
                            <w:pPr>
                              <w:rPr>
                                <w:rFonts w:cs="Arial"/>
                                <w:sz w:val="18"/>
                                <w:szCs w:val="18"/>
                                <w:lang w:val="en-GB"/>
                              </w:rPr>
                            </w:pPr>
                            <w:r w:rsidRPr="002E2092">
                              <w:rPr>
                                <w:lang w:val="en-US"/>
                              </w:rPr>
                              <w:t xml:space="preserve">A Bayesian Network (BN) is a probabilistic graphical model that represents a set of variables and their conditional probabilities in a causal network. In Vansjø, the BN represents the relationships between meteorological and historic lake variables, and the variables related to management targets (nutrient </w:t>
                            </w:r>
                            <w:r w:rsidRPr="002E2092">
                              <w:rPr>
                                <w:lang w:val="en-GB"/>
                              </w:rPr>
                              <w:t xml:space="preserve">concentrations, </w:t>
                            </w:r>
                            <w:r>
                              <w:rPr>
                                <w:lang w:val="en-GB"/>
                              </w:rPr>
                              <w:t xml:space="preserve">algae, </w:t>
                            </w:r>
                            <w:r w:rsidRPr="002E2092">
                              <w:rPr>
                                <w:lang w:val="en-GB"/>
                              </w:rPr>
                              <w:t>water colour). Given lake observations from the previous year</w:t>
                            </w:r>
                            <w:r w:rsidR="004D0EE6">
                              <w:rPr>
                                <w:lang w:val="en-GB"/>
                              </w:rPr>
                              <w:t xml:space="preserve"> and </w:t>
                            </w:r>
                            <w:r w:rsidR="004D0EE6" w:rsidRPr="002E2092">
                              <w:rPr>
                                <w:lang w:val="en-GB"/>
                              </w:rPr>
                              <w:t xml:space="preserve">a seasonal </w:t>
                            </w:r>
                            <w:r w:rsidR="004D0EE6">
                              <w:rPr>
                                <w:lang w:val="en-GB"/>
                              </w:rPr>
                              <w:t>climate</w:t>
                            </w:r>
                            <w:r w:rsidR="004D0EE6" w:rsidRPr="002E2092">
                              <w:rPr>
                                <w:lang w:val="en-GB"/>
                              </w:rPr>
                              <w:t xml:space="preserve"> forecast</w:t>
                            </w:r>
                            <w:r w:rsidRPr="002E2092">
                              <w:rPr>
                                <w:lang w:val="en-GB"/>
                              </w:rPr>
                              <w:t>, the BN can be used to predict lake variables of interest in a probabilistic way. The underlying probabilities</w:t>
                            </w:r>
                            <w:r w:rsidRPr="002E2092">
                              <w:rPr>
                                <w:lang w:val="en-US"/>
                              </w:rPr>
                              <w:t xml:space="preserve"> may be updated as more observed data becomes available, meaning the performance of the forecasting system can improve through time.</w:t>
                            </w:r>
                          </w:p>
                          <w:p w14:paraId="4748B0AA" w14:textId="74F20507" w:rsidR="002E2092" w:rsidRPr="004D0EE6" w:rsidRDefault="004D0EE6" w:rsidP="004D0EE6">
                            <w:pPr>
                              <w:rPr>
                                <w:lang w:val="en-GB"/>
                              </w:rPr>
                            </w:pPr>
                            <w:r>
                              <w:rPr>
                                <w:lang w:val="en-GB"/>
                              </w:rPr>
                              <w:t>T</w:t>
                            </w:r>
                            <w:r w:rsidR="002E2092" w:rsidRPr="002E2092">
                              <w:rPr>
                                <w:lang w:val="en-GB"/>
                              </w:rPr>
                              <w:t xml:space="preserve">he structure </w:t>
                            </w:r>
                            <w:r w:rsidR="002E2092" w:rsidRPr="004D0EE6">
                              <w:rPr>
                                <w:lang w:val="en-GB"/>
                              </w:rPr>
                              <w:t>of the BN was developed using:</w:t>
                            </w:r>
                            <w:r w:rsidRPr="004D0EE6">
                              <w:rPr>
                                <w:lang w:val="en-GB"/>
                              </w:rPr>
                              <w:t xml:space="preserve"> (1) </w:t>
                            </w:r>
                            <w:r w:rsidR="002E2092" w:rsidRPr="004D0EE6">
                              <w:rPr>
                                <w:lang w:val="en-GB"/>
                              </w:rPr>
                              <w:t>Expert knowledge</w:t>
                            </w:r>
                            <w:r w:rsidRPr="004D0EE6">
                              <w:rPr>
                                <w:lang w:val="en-GB"/>
                              </w:rPr>
                              <w:t xml:space="preserve">; (2) </w:t>
                            </w:r>
                            <w:r w:rsidR="002E2092" w:rsidRPr="004D0EE6">
                              <w:rPr>
                                <w:lang w:val="en-GB"/>
                              </w:rPr>
                              <w:t>Statistical exploration of the data, including feature selection techniques. A variety of temporal aggregations of the data were explored (monthly, 3-monthly, growing season)</w:t>
                            </w:r>
                            <w:r w:rsidRPr="004D0EE6">
                              <w:rPr>
                                <w:lang w:val="en-GB"/>
                              </w:rPr>
                              <w:t xml:space="preserve">; and (3) </w:t>
                            </w:r>
                            <w:r w:rsidR="002E2092" w:rsidRPr="004D0EE6">
                              <w:rPr>
                                <w:lang w:val="en-GB"/>
                              </w:rPr>
                              <w:t>Cross-validation of a variety of BN model structures.</w:t>
                            </w:r>
                            <w:r w:rsidRPr="004D0EE6">
                              <w:rPr>
                                <w:lang w:val="en-GB"/>
                              </w:rPr>
                              <w:t xml:space="preserve"> </w:t>
                            </w:r>
                            <w:r w:rsidR="002E2092" w:rsidRPr="00E52FDC">
                              <w:rPr>
                                <w:lang w:val="en-GB"/>
                              </w:rPr>
                              <w:t xml:space="preserve">A Gaussian BN was chosen, where continuous variables are used for the nodes. </w:t>
                            </w:r>
                            <w:r w:rsidR="002E2092" w:rsidRPr="004D0EE6">
                              <w:rPr>
                                <w:lang w:val="en-GB"/>
                              </w:rPr>
                              <w:t xml:space="preserve">BN parameters (conditional probabilities) were </w:t>
                            </w:r>
                            <w:r w:rsidRPr="004D0EE6">
                              <w:rPr>
                                <w:lang w:val="en-GB"/>
                              </w:rPr>
                              <w:t>th</w:t>
                            </w:r>
                            <w:r>
                              <w:rPr>
                                <w:lang w:val="en-GB"/>
                              </w:rPr>
                              <w:t xml:space="preserve">en </w:t>
                            </w:r>
                            <w:r w:rsidR="002E2092" w:rsidRPr="004D0EE6">
                              <w:rPr>
                                <w:lang w:val="en-GB"/>
                              </w:rPr>
                              <w:t>set by training on observed</w:t>
                            </w:r>
                            <w:r w:rsidR="00E52FDC">
                              <w:rPr>
                                <w:lang w:val="en-GB"/>
                              </w:rPr>
                              <w:t xml:space="preserve"> lake</w:t>
                            </w:r>
                            <w:r w:rsidR="002E2092" w:rsidRPr="004D0EE6">
                              <w:rPr>
                                <w:lang w:val="en-GB"/>
                              </w:rPr>
                              <w:t xml:space="preserve"> data</w:t>
                            </w:r>
                            <w:r>
                              <w:rPr>
                                <w:lang w:val="en-GB"/>
                              </w:rPr>
                              <w:t xml:space="preserve"> from the period 1981-2019 (1996-2019 for cyanobacteria)</w:t>
                            </w:r>
                            <w:r w:rsidR="002E2092" w:rsidRPr="004D0EE6">
                              <w:rPr>
                                <w:lang w:val="en-GB"/>
                              </w:rPr>
                              <w:t>.</w:t>
                            </w:r>
                          </w:p>
                        </w:txbxContent>
                      </wps:txbx>
                      <wps:bodyPr rot="0" vert="horz" wrap="square" lIns="91440" tIns="45720" rIns="91440" bIns="45720" anchor="t" anchorCtr="0">
                        <a:noAutofit/>
                      </wps:bodyPr>
                    </wps:wsp>
                  </a:graphicData>
                </a:graphic>
              </wp:inline>
            </w:drawing>
          </mc:Choice>
          <mc:Fallback>
            <w:pict>
              <v:shapetype w14:anchorId="1100D190" id="_x0000_t202" coordsize="21600,21600" o:spt="202" path="m,l,21600r21600,l21600,xe">
                <v:stroke joinstyle="miter"/>
                <v:path gradientshapeok="t" o:connecttype="rect"/>
              </v:shapetype>
              <v:shape id="Text Box 2" o:spid="_x0000_s1026" type="#_x0000_t202" style="width:510.35pt;height:17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" fillcolor="#deeaf6 [664]">
                <v:textbox>
                  <w:txbxContent>
                    <w:p w14:paraId="3BAE0CAF" w14:textId="06E281BE" w:rsidR="002E2092" w:rsidRPr="004D0EE6" w:rsidRDefault="002E2092" w:rsidP="004D0EE6">
                      <w:pPr>
                        <w:rPr>
                          <w:b/>
                          <w:lang w:val="en-US"/>
                        </w:rPr>
                      </w:pPr>
                      <w:r w:rsidRPr="004D0EE6">
                        <w:rPr>
                          <w:b/>
                          <w:lang w:val="en-US"/>
                        </w:rPr>
                        <w:t>Box 1: Introduction to Bayesian Networks</w:t>
                      </w:r>
                    </w:p>
                    <w:p w14:paraId="63757CEB" w14:textId="57BB90B5" w:rsidR="004D0EE6" w:rsidRDefault="002E2092" w:rsidP="004D0EE6">
                      <w:pPr>
                        <w:rPr>
                          <w:rFonts w:cs="Arial"/>
                          <w:sz w:val="18"/>
                          <w:szCs w:val="18"/>
                          <w:lang w:val="en-GB"/>
                        </w:rPr>
                      </w:pPr>
                      <w:r w:rsidRPr="002E2092">
                        <w:rPr>
                          <w:lang w:val="en-US"/>
                        </w:rPr>
                        <w:t xml:space="preserve">A Bayesian Network (BN) is a probabilistic graphical model that represents a set of variables and their conditional probabilities in a causal network. In Vansjø, the BN represents the relationships between meteorological and historic lake variables, and the variables related to management targets (nutrient </w:t>
                      </w:r>
                      <w:r w:rsidRPr="002E2092">
                        <w:rPr>
                          <w:lang w:val="en-GB"/>
                        </w:rPr>
                        <w:t xml:space="preserve">concentrations, </w:t>
                      </w:r>
                      <w:r>
                        <w:rPr>
                          <w:lang w:val="en-GB"/>
                        </w:rPr>
                        <w:t xml:space="preserve">algae, </w:t>
                      </w:r>
                      <w:r w:rsidRPr="002E2092">
                        <w:rPr>
                          <w:lang w:val="en-GB"/>
                        </w:rPr>
                        <w:t>water colour). Given lake observations from the previous year</w:t>
                      </w:r>
                      <w:r w:rsidR="004D0EE6">
                        <w:rPr>
                          <w:lang w:val="en-GB"/>
                        </w:rPr>
                        <w:t xml:space="preserve"> and </w:t>
                      </w:r>
                      <w:r w:rsidR="004D0EE6" w:rsidRPr="002E2092">
                        <w:rPr>
                          <w:lang w:val="en-GB"/>
                        </w:rPr>
                        <w:t xml:space="preserve">a seasonal </w:t>
                      </w:r>
                      <w:r w:rsidR="004D0EE6">
                        <w:rPr>
                          <w:lang w:val="en-GB"/>
                        </w:rPr>
                        <w:t>climate</w:t>
                      </w:r>
                      <w:r w:rsidR="004D0EE6" w:rsidRPr="002E2092">
                        <w:rPr>
                          <w:lang w:val="en-GB"/>
                        </w:rPr>
                        <w:t xml:space="preserve"> forecast</w:t>
                      </w:r>
                      <w:r w:rsidRPr="002E2092">
                        <w:rPr>
                          <w:lang w:val="en-GB"/>
                        </w:rPr>
                        <w:t>, the BN can be used to predict lake variables of interest in a probabilistic way. The underlying probabilities</w:t>
                      </w:r>
                      <w:r w:rsidRPr="002E2092">
                        <w:rPr>
                          <w:lang w:val="en-US"/>
                        </w:rPr>
                        <w:t xml:space="preserve"> may be updated as more observed data becomes available, meaning the performance of the forecasting system can improve through time.</w:t>
                      </w:r>
                    </w:p>
                    <w:p w14:paraId="4748B0AA" w14:textId="74F20507" w:rsidR="002E2092" w:rsidRPr="004D0EE6" w:rsidRDefault="004D0EE6" w:rsidP="004D0EE6">
                      <w:pPr>
                        <w:rPr>
                          <w:lang w:val="en-GB"/>
                        </w:rPr>
                      </w:pPr>
                      <w:r>
                        <w:rPr>
                          <w:lang w:val="en-GB"/>
                        </w:rPr>
                        <w:t>T</w:t>
                      </w:r>
                      <w:r w:rsidR="002E2092" w:rsidRPr="002E2092">
                        <w:rPr>
                          <w:lang w:val="en-GB"/>
                        </w:rPr>
                        <w:t xml:space="preserve">he structure </w:t>
                      </w:r>
                      <w:r w:rsidR="002E2092" w:rsidRPr="004D0EE6">
                        <w:rPr>
                          <w:lang w:val="en-GB"/>
                        </w:rPr>
                        <w:t>of the BN was developed using:</w:t>
                      </w:r>
                      <w:r w:rsidRPr="004D0EE6">
                        <w:rPr>
                          <w:lang w:val="en-GB"/>
                        </w:rPr>
                        <w:t xml:space="preserve"> (1) </w:t>
                      </w:r>
                      <w:r w:rsidR="002E2092" w:rsidRPr="004D0EE6">
                        <w:rPr>
                          <w:lang w:val="en-GB"/>
                        </w:rPr>
                        <w:t>Expert knowledge</w:t>
                      </w:r>
                      <w:r w:rsidRPr="004D0EE6">
                        <w:rPr>
                          <w:lang w:val="en-GB"/>
                        </w:rPr>
                        <w:t xml:space="preserve">; (2) </w:t>
                      </w:r>
                      <w:r w:rsidR="002E2092" w:rsidRPr="004D0EE6">
                        <w:rPr>
                          <w:lang w:val="en-GB"/>
                        </w:rPr>
                        <w:t>Statistical exploration of the data, including feature selection techniques. A variety of temporal aggregations of the data were explored (monthly, 3-monthly, growing season)</w:t>
                      </w:r>
                      <w:r w:rsidRPr="004D0EE6">
                        <w:rPr>
                          <w:lang w:val="en-GB"/>
                        </w:rPr>
                        <w:t xml:space="preserve">; and (3) </w:t>
                      </w:r>
                      <w:r w:rsidR="002E2092" w:rsidRPr="004D0EE6">
                        <w:rPr>
                          <w:lang w:val="en-GB"/>
                        </w:rPr>
                        <w:t>Cross-validation of a variety of BN model structures.</w:t>
                      </w:r>
                      <w:r w:rsidRPr="004D0EE6">
                        <w:rPr>
                          <w:lang w:val="en-GB"/>
                        </w:rPr>
                        <w:t xml:space="preserve"> </w:t>
                      </w:r>
                      <w:r w:rsidR="002E2092" w:rsidRPr="00E52FDC">
                        <w:rPr>
                          <w:lang w:val="en-GB"/>
                        </w:rPr>
                        <w:t xml:space="preserve">A Gaussian BN was chosen, where continuous variables are used for the nodes. </w:t>
                      </w:r>
                      <w:r w:rsidR="002E2092" w:rsidRPr="004D0EE6">
                        <w:rPr>
                          <w:lang w:val="en-GB"/>
                        </w:rPr>
                        <w:t xml:space="preserve">BN parameters (conditional probabilities) were </w:t>
                      </w:r>
                      <w:r w:rsidRPr="004D0EE6">
                        <w:rPr>
                          <w:lang w:val="en-GB"/>
                        </w:rPr>
                        <w:t>th</w:t>
                      </w:r>
                      <w:r>
                        <w:rPr>
                          <w:lang w:val="en-GB"/>
                        </w:rPr>
                        <w:t xml:space="preserve">en </w:t>
                      </w:r>
                      <w:r w:rsidR="002E2092" w:rsidRPr="004D0EE6">
                        <w:rPr>
                          <w:lang w:val="en-GB"/>
                        </w:rPr>
                        <w:t>set by training on observed</w:t>
                      </w:r>
                      <w:r w:rsidR="00E52FDC">
                        <w:rPr>
                          <w:lang w:val="en-GB"/>
                        </w:rPr>
                        <w:t xml:space="preserve"> lake</w:t>
                      </w:r>
                      <w:r w:rsidR="002E2092" w:rsidRPr="004D0EE6">
                        <w:rPr>
                          <w:lang w:val="en-GB"/>
                        </w:rPr>
                        <w:t xml:space="preserve"> data</w:t>
                      </w:r>
                      <w:r>
                        <w:rPr>
                          <w:lang w:val="en-GB"/>
                        </w:rPr>
                        <w:t xml:space="preserve"> from the period 1981-2019 (1996-2019 for cyanobacteria)</w:t>
                      </w:r>
                      <w:r w:rsidR="002E2092" w:rsidRPr="004D0EE6">
                        <w:rPr>
                          <w:lang w:val="en-GB"/>
                        </w:rPr>
                        <w:t>.</w:t>
                      </w:r>
                    </w:p>
                  </w:txbxContent>
                </v:textbox>
                <w10:anchorlock/>
              </v:shape>
            </w:pict>
          </mc:Fallback>
        </mc:AlternateContent>
      </w:r>
    </w:p>
    <w:sectPr w:rsidR="009C2EE2" w:rsidSect="00BE268E">
      <w:headerReference w:type="default" r:id="rId9"/>
      <w:pgSz w:w="11906" w:h="16838"/>
      <w:pgMar w:top="1134" w:right="851" w:bottom="1134" w:left="85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5CEDE" w14:textId="77777777" w:rsidR="00046D49" w:rsidRDefault="00046D49" w:rsidP="00046D49">
      <w:pPr>
        <w:spacing w:after="0" w:line="240" w:lineRule="auto"/>
      </w:pPr>
      <w:r>
        <w:separator/>
      </w:r>
    </w:p>
  </w:endnote>
  <w:endnote w:type="continuationSeparator" w:id="0">
    <w:p w14:paraId="4B646515" w14:textId="77777777" w:rsidR="00046D49" w:rsidRDefault="00046D49" w:rsidP="00046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DCD14" w14:textId="77777777" w:rsidR="00046D49" w:rsidRDefault="00046D49" w:rsidP="00046D49">
      <w:pPr>
        <w:spacing w:after="0" w:line="240" w:lineRule="auto"/>
      </w:pPr>
      <w:r>
        <w:separator/>
      </w:r>
    </w:p>
  </w:footnote>
  <w:footnote w:type="continuationSeparator" w:id="0">
    <w:p w14:paraId="56637E3D" w14:textId="77777777" w:rsidR="00046D49" w:rsidRDefault="00046D49" w:rsidP="00046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C808" w14:textId="136A5FDF" w:rsidR="00046D49" w:rsidRDefault="00046D49" w:rsidP="00046D49">
    <w:pPr>
      <w:pStyle w:val="Header"/>
      <w:jc w:val="right"/>
    </w:pPr>
    <w:r w:rsidRPr="00686CBF">
      <w:rPr>
        <w:noProof/>
      </w:rPr>
      <w:drawing>
        <wp:anchor distT="0" distB="0" distL="114300" distR="114300" simplePos="0" relativeHeight="251658240" behindDoc="1" locked="0" layoutInCell="1" allowOverlap="1" wp14:anchorId="1A8B3D8E" wp14:editId="307A65CC">
          <wp:simplePos x="0" y="0"/>
          <wp:positionH relativeFrom="column">
            <wp:posOffset>4630831</wp:posOffset>
          </wp:positionH>
          <wp:positionV relativeFrom="paragraph">
            <wp:posOffset>-115261</wp:posOffset>
          </wp:positionV>
          <wp:extent cx="792480" cy="654685"/>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92480" cy="654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6CBF">
      <w:rPr>
        <w:noProof/>
      </w:rPr>
      <w:drawing>
        <wp:inline distT="0" distB="0" distL="0" distR="0" wp14:anchorId="72ECADD9" wp14:editId="7CD654BD">
          <wp:extent cx="999490" cy="334010"/>
          <wp:effectExtent l="0" t="0" r="0" b="8890"/>
          <wp:docPr id="3" name="Picture 3" descr="C:\Users\ljb\AppData\Local\Microsoft\Windows\INetCache\Content.MSO\DB9A1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jb\AppData\Local\Microsoft\Windows\INetCache\Content.MSO\DB9A16C.tmp"/>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27553" b="25108"/>
                  <a:stretch/>
                </pic:blipFill>
                <pic:spPr bwMode="auto">
                  <a:xfrm>
                    <a:off x="0" y="0"/>
                    <a:ext cx="999490" cy="33401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669E3"/>
    <w:multiLevelType w:val="hybridMultilevel"/>
    <w:tmpl w:val="544428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061978"/>
    <w:multiLevelType w:val="hybridMultilevel"/>
    <w:tmpl w:val="81C618EC"/>
    <w:lvl w:ilvl="0" w:tplc="0414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A5851F9"/>
    <w:multiLevelType w:val="hybridMultilevel"/>
    <w:tmpl w:val="FEC8E3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3342CA2"/>
    <w:multiLevelType w:val="hybridMultilevel"/>
    <w:tmpl w:val="E5EC4498"/>
    <w:lvl w:ilvl="0" w:tplc="0414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9033CA"/>
    <w:multiLevelType w:val="hybridMultilevel"/>
    <w:tmpl w:val="F6386ED8"/>
    <w:lvl w:ilvl="0" w:tplc="DB34ED0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47159C"/>
    <w:multiLevelType w:val="hybridMultilevel"/>
    <w:tmpl w:val="81787AD2"/>
    <w:lvl w:ilvl="0" w:tplc="04140001">
      <w:start w:val="1"/>
      <w:numFmt w:val="bullet"/>
      <w:lvlText w:val=""/>
      <w:lvlJc w:val="left"/>
      <w:pPr>
        <w:ind w:left="360" w:hanging="360"/>
      </w:pPr>
      <w:rPr>
        <w:rFonts w:ascii="Symbol" w:hAnsi="Symbol" w:hint="default"/>
      </w:rPr>
    </w:lvl>
    <w:lvl w:ilvl="1" w:tplc="0414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C8E2F9B"/>
    <w:multiLevelType w:val="hybridMultilevel"/>
    <w:tmpl w:val="B5CCE42C"/>
    <w:lvl w:ilvl="0" w:tplc="DB34ED0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12"/>
    <w:rsid w:val="00046D49"/>
    <w:rsid w:val="001422ED"/>
    <w:rsid w:val="002E2092"/>
    <w:rsid w:val="002F4D5E"/>
    <w:rsid w:val="003147B6"/>
    <w:rsid w:val="003E5D47"/>
    <w:rsid w:val="004C70DD"/>
    <w:rsid w:val="004D0EE6"/>
    <w:rsid w:val="005D3796"/>
    <w:rsid w:val="00627802"/>
    <w:rsid w:val="00637412"/>
    <w:rsid w:val="006950CB"/>
    <w:rsid w:val="007F0318"/>
    <w:rsid w:val="007F7D87"/>
    <w:rsid w:val="00886CA0"/>
    <w:rsid w:val="008A6466"/>
    <w:rsid w:val="008B6C58"/>
    <w:rsid w:val="008D2E86"/>
    <w:rsid w:val="00974BDC"/>
    <w:rsid w:val="00987BFD"/>
    <w:rsid w:val="009C2EE2"/>
    <w:rsid w:val="00A26314"/>
    <w:rsid w:val="00AA2E9B"/>
    <w:rsid w:val="00AC4C6F"/>
    <w:rsid w:val="00D012A6"/>
    <w:rsid w:val="00D21F67"/>
    <w:rsid w:val="00D22170"/>
    <w:rsid w:val="00D75C42"/>
    <w:rsid w:val="00D77ED9"/>
    <w:rsid w:val="00E52FDC"/>
    <w:rsid w:val="00ED435C"/>
    <w:rsid w:val="00F4474B"/>
    <w:rsid w:val="00FE59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2A165AB"/>
  <w15:chartTrackingRefBased/>
  <w15:docId w15:val="{0E9E0F29-8F5A-4C44-BC94-27D0E1D4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412"/>
    <w:pPr>
      <w:jc w:val="both"/>
    </w:pPr>
    <w:rPr>
      <w:rFonts w:ascii="Arial" w:hAnsi="Arial"/>
      <w:sz w:val="20"/>
    </w:rPr>
  </w:style>
  <w:style w:type="paragraph" w:styleId="Heading3">
    <w:name w:val="heading 3"/>
    <w:aliases w:val="WX Heading3"/>
    <w:basedOn w:val="Normal"/>
    <w:link w:val="Heading3Char"/>
    <w:qFormat/>
    <w:rsid w:val="003147B6"/>
    <w:pPr>
      <w:keepNext/>
      <w:keepLines/>
      <w:suppressAutoHyphens/>
      <w:spacing w:before="320" w:after="240" w:line="360" w:lineRule="auto"/>
      <w:textAlignment w:val="baseline"/>
      <w:outlineLvl w:val="2"/>
    </w:pPr>
    <w:rPr>
      <w:rFonts w:eastAsia="Arial" w:cs="Arial"/>
      <w:i/>
      <w:color w:val="434343"/>
      <w:sz w:val="28"/>
      <w:szCs w:val="28"/>
      <w:lang w:val="da-DK"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WX Heading3 Char"/>
    <w:basedOn w:val="DefaultParagraphFont"/>
    <w:link w:val="Heading3"/>
    <w:rsid w:val="003147B6"/>
    <w:rPr>
      <w:rFonts w:ascii="Arial" w:eastAsia="Arial" w:hAnsi="Arial" w:cs="Arial"/>
      <w:i/>
      <w:color w:val="434343"/>
      <w:sz w:val="28"/>
      <w:szCs w:val="28"/>
      <w:lang w:val="da-DK" w:eastAsia="zh-CN" w:bidi="hi-IN"/>
    </w:rPr>
  </w:style>
  <w:style w:type="paragraph" w:customStyle="1" w:styleId="WATExR-captiontable">
    <w:name w:val="WATExR- caption_table"/>
    <w:basedOn w:val="Normal"/>
    <w:qFormat/>
    <w:rsid w:val="003147B6"/>
    <w:pPr>
      <w:suppressAutoHyphens/>
      <w:spacing w:after="240" w:line="240" w:lineRule="auto"/>
      <w:textAlignment w:val="baseline"/>
    </w:pPr>
    <w:rPr>
      <w:rFonts w:eastAsia="Arial" w:cs="Arial"/>
      <w:color w:val="00000A"/>
      <w:lang w:val="da-DK" w:eastAsia="zh-CN" w:bidi="hi-IN"/>
    </w:rPr>
  </w:style>
  <w:style w:type="paragraph" w:customStyle="1" w:styleId="WXtext">
    <w:name w:val="WX text"/>
    <w:basedOn w:val="Normal"/>
    <w:qFormat/>
    <w:rsid w:val="00D22170"/>
    <w:pPr>
      <w:suppressAutoHyphens/>
      <w:spacing w:after="158" w:line="300" w:lineRule="auto"/>
      <w:ind w:firstLine="561"/>
      <w:textAlignment w:val="baseline"/>
    </w:pPr>
    <w:rPr>
      <w:rFonts w:eastAsia="Arial" w:cs="Arial"/>
      <w:color w:val="00000A"/>
      <w:lang w:val="da-DK" w:eastAsia="zh-CN" w:bidi="hi-IN"/>
    </w:rPr>
  </w:style>
  <w:style w:type="paragraph" w:styleId="ListParagraph">
    <w:name w:val="List Paragraph"/>
    <w:basedOn w:val="Normal"/>
    <w:uiPriority w:val="34"/>
    <w:qFormat/>
    <w:rsid w:val="00637412"/>
    <w:pPr>
      <w:ind w:left="720"/>
      <w:contextualSpacing/>
    </w:pPr>
  </w:style>
  <w:style w:type="table" w:styleId="TableGrid">
    <w:name w:val="Table Grid"/>
    <w:basedOn w:val="TableNormal"/>
    <w:uiPriority w:val="39"/>
    <w:rsid w:val="00637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5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90E"/>
    <w:rPr>
      <w:rFonts w:ascii="Segoe UI" w:hAnsi="Segoe UI" w:cs="Segoe UI"/>
      <w:sz w:val="18"/>
      <w:szCs w:val="18"/>
    </w:rPr>
  </w:style>
  <w:style w:type="paragraph" w:styleId="Header">
    <w:name w:val="header"/>
    <w:basedOn w:val="Normal"/>
    <w:link w:val="HeaderChar"/>
    <w:uiPriority w:val="99"/>
    <w:unhideWhenUsed/>
    <w:rsid w:val="00046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D49"/>
    <w:rPr>
      <w:rFonts w:ascii="Arial" w:hAnsi="Arial"/>
      <w:sz w:val="20"/>
    </w:rPr>
  </w:style>
  <w:style w:type="paragraph" w:styleId="Footer">
    <w:name w:val="footer"/>
    <w:basedOn w:val="Normal"/>
    <w:link w:val="FooterChar"/>
    <w:uiPriority w:val="99"/>
    <w:unhideWhenUsed/>
    <w:rsid w:val="00046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D49"/>
    <w:rPr>
      <w:rFonts w:ascii="Arial" w:hAnsi="Arial"/>
      <w:sz w:val="20"/>
    </w:rPr>
  </w:style>
  <w:style w:type="character" w:styleId="CommentReference">
    <w:name w:val="annotation reference"/>
    <w:basedOn w:val="DefaultParagraphFont"/>
    <w:uiPriority w:val="99"/>
    <w:semiHidden/>
    <w:unhideWhenUsed/>
    <w:rsid w:val="00D77ED9"/>
    <w:rPr>
      <w:sz w:val="16"/>
      <w:szCs w:val="16"/>
    </w:rPr>
  </w:style>
  <w:style w:type="paragraph" w:styleId="CommentText">
    <w:name w:val="annotation text"/>
    <w:basedOn w:val="Normal"/>
    <w:link w:val="CommentTextChar"/>
    <w:uiPriority w:val="99"/>
    <w:semiHidden/>
    <w:unhideWhenUsed/>
    <w:rsid w:val="00D77ED9"/>
    <w:pPr>
      <w:spacing w:line="240" w:lineRule="auto"/>
    </w:pPr>
    <w:rPr>
      <w:szCs w:val="20"/>
    </w:rPr>
  </w:style>
  <w:style w:type="character" w:customStyle="1" w:styleId="CommentTextChar">
    <w:name w:val="Comment Text Char"/>
    <w:basedOn w:val="DefaultParagraphFont"/>
    <w:link w:val="CommentText"/>
    <w:uiPriority w:val="99"/>
    <w:semiHidden/>
    <w:rsid w:val="00D77ED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77ED9"/>
    <w:rPr>
      <w:b/>
      <w:bCs/>
    </w:rPr>
  </w:style>
  <w:style w:type="character" w:customStyle="1" w:styleId="CommentSubjectChar">
    <w:name w:val="Comment Subject Char"/>
    <w:basedOn w:val="CommentTextChar"/>
    <w:link w:val="CommentSubject"/>
    <w:uiPriority w:val="99"/>
    <w:semiHidden/>
    <w:rsid w:val="00D77ED9"/>
    <w:rPr>
      <w:rFonts w:ascii="Arial" w:hAnsi="Arial"/>
      <w:b/>
      <w:bCs/>
      <w:sz w:val="20"/>
      <w:szCs w:val="20"/>
    </w:rPr>
  </w:style>
  <w:style w:type="character" w:styleId="Hyperlink">
    <w:name w:val="Hyperlink"/>
    <w:basedOn w:val="DefaultParagraphFont"/>
    <w:uiPriority w:val="99"/>
    <w:unhideWhenUsed/>
    <w:rsid w:val="008D2E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B6A93-643A-4E41-BA32-785382731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Jackson-Blake</dc:creator>
  <cp:keywords/>
  <dc:description/>
  <cp:lastModifiedBy>Leah Jackson-Blake</cp:lastModifiedBy>
  <cp:revision>6</cp:revision>
  <cp:lastPrinted>2020-03-06T10:40:00Z</cp:lastPrinted>
  <dcterms:created xsi:type="dcterms:W3CDTF">2020-02-19T12:29:00Z</dcterms:created>
  <dcterms:modified xsi:type="dcterms:W3CDTF">2020-03-06T10:41:00Z</dcterms:modified>
</cp:coreProperties>
</file>