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875FD" w14:textId="04FDAB51" w:rsidR="00F47EB2" w:rsidRPr="008C5282" w:rsidRDefault="008C223F">
      <w:pPr>
        <w:spacing w:line="240" w:lineRule="auto"/>
        <w:jc w:val="left"/>
        <w:rPr>
          <w:lang w:val="en-GB"/>
        </w:rPr>
      </w:pPr>
      <w:r w:rsidRPr="00686CBF">
        <w:rPr>
          <w:noProof/>
        </w:rPr>
        <w:drawing>
          <wp:anchor distT="0" distB="0" distL="114300" distR="114300" simplePos="0" relativeHeight="251664384" behindDoc="0" locked="0" layoutInCell="1" allowOverlap="1" wp14:anchorId="54B73ED4" wp14:editId="0E9B1520">
            <wp:simplePos x="0" y="0"/>
            <wp:positionH relativeFrom="column">
              <wp:posOffset>5652876</wp:posOffset>
            </wp:positionH>
            <wp:positionV relativeFrom="paragraph">
              <wp:posOffset>-520577</wp:posOffset>
            </wp:positionV>
            <wp:extent cx="999490" cy="334010"/>
            <wp:effectExtent l="0" t="0" r="0" b="8890"/>
            <wp:wrapNone/>
            <wp:docPr id="4" name="Picture 4" descr="C:\Users\ljb\AppData\Local\Microsoft\Windows\INetCache\Content.MSO\DB9A1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jb\AppData\Local\Microsoft\Windows\INetCache\Content.MSO\DB9A16C.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7553" b="25108"/>
                    <a:stretch/>
                  </pic:blipFill>
                  <pic:spPr bwMode="auto">
                    <a:xfrm>
                      <a:off x="0" y="0"/>
                      <a:ext cx="999490" cy="334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116C">
        <w:rPr>
          <w:noProof/>
        </w:rPr>
        <w:drawing>
          <wp:anchor distT="0" distB="0" distL="114300" distR="114300" simplePos="0" relativeHeight="251658240" behindDoc="1" locked="0" layoutInCell="1" allowOverlap="1" wp14:anchorId="1FCC805F" wp14:editId="3227DEA3">
            <wp:simplePos x="0" y="0"/>
            <wp:positionH relativeFrom="column">
              <wp:posOffset>5571869</wp:posOffset>
            </wp:positionH>
            <wp:positionV relativeFrom="paragraph">
              <wp:posOffset>-289517</wp:posOffset>
            </wp:positionV>
            <wp:extent cx="1060279" cy="976116"/>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279" cy="976116"/>
                    </a:xfrm>
                    <a:prstGeom prst="rect">
                      <a:avLst/>
                    </a:prstGeom>
                    <a:noFill/>
                    <a:ln>
                      <a:noFill/>
                    </a:ln>
                  </pic:spPr>
                </pic:pic>
              </a:graphicData>
            </a:graphic>
            <wp14:sizeRelH relativeFrom="page">
              <wp14:pctWidth>0</wp14:pctWidth>
            </wp14:sizeRelH>
            <wp14:sizeRelV relativeFrom="page">
              <wp14:pctHeight>0</wp14:pctHeight>
            </wp14:sizeRelV>
          </wp:anchor>
        </w:drawing>
      </w:r>
      <w:r w:rsidR="00DA6D85">
        <w:rPr>
          <w:rFonts w:cs="Arial"/>
          <w:b/>
          <w:color w:val="4472C4" w:themeColor="accent1"/>
          <w:sz w:val="28"/>
          <w:szCs w:val="28"/>
          <w:lang w:val="en-GB"/>
        </w:rPr>
        <w:t xml:space="preserve">Understanding and interpreting seasonal </w:t>
      </w:r>
      <w:r w:rsidR="008C5282">
        <w:rPr>
          <w:rFonts w:cs="Arial"/>
          <w:b/>
          <w:color w:val="4472C4" w:themeColor="accent1"/>
          <w:sz w:val="28"/>
          <w:szCs w:val="28"/>
          <w:lang w:val="en-GB"/>
        </w:rPr>
        <w:t>climate</w:t>
      </w:r>
      <w:r w:rsidR="00DA6D85">
        <w:rPr>
          <w:rFonts w:cs="Arial"/>
          <w:b/>
          <w:color w:val="4472C4" w:themeColor="accent1"/>
          <w:sz w:val="28"/>
          <w:szCs w:val="28"/>
          <w:lang w:val="en-GB"/>
        </w:rPr>
        <w:t xml:space="preserve"> forecasts</w:t>
      </w:r>
    </w:p>
    <w:p w14:paraId="3CAB5A47" w14:textId="77777777" w:rsidR="004E5004" w:rsidRPr="009E3188" w:rsidRDefault="004E5004" w:rsidP="004E5004">
      <w:pPr>
        <w:rPr>
          <w:rFonts w:cs="Arial"/>
          <w:b/>
          <w:color w:val="4472C4" w:themeColor="accent1"/>
          <w:sz w:val="22"/>
          <w:lang w:val="en-GB"/>
        </w:rPr>
      </w:pPr>
      <w:r>
        <w:rPr>
          <w:rFonts w:cs="Arial"/>
          <w:b/>
          <w:color w:val="4472C4" w:themeColor="accent1"/>
          <w:sz w:val="22"/>
          <w:lang w:val="en-GB"/>
        </w:rPr>
        <w:t>Data sources</w:t>
      </w:r>
      <w:r w:rsidRPr="00B4116C">
        <w:rPr>
          <w:lang w:val="en-GB"/>
        </w:rPr>
        <w:t xml:space="preserve"> </w:t>
      </w:r>
    </w:p>
    <w:p w14:paraId="14B31F27" w14:textId="77777777" w:rsidR="004E5004" w:rsidRPr="004E5004" w:rsidRDefault="004E5004" w:rsidP="004E5004">
      <w:pPr>
        <w:rPr>
          <w:rFonts w:cs="Arial"/>
          <w:b/>
          <w:color w:val="4472C4" w:themeColor="accent1"/>
          <w:sz w:val="22"/>
          <w:lang w:val="en-GB"/>
        </w:rPr>
      </w:pPr>
      <w:r>
        <w:rPr>
          <w:rFonts w:cs="Arial"/>
          <w:szCs w:val="20"/>
          <w:lang w:val="en-GB"/>
        </w:rPr>
        <w:t>The seasonal climate</w:t>
      </w:r>
      <w:r w:rsidRPr="00EB0EE7">
        <w:rPr>
          <w:rFonts w:cs="Arial"/>
          <w:szCs w:val="20"/>
          <w:lang w:val="en-GB"/>
        </w:rPr>
        <w:t xml:space="preserve"> forecasts are </w:t>
      </w:r>
      <w:r>
        <w:rPr>
          <w:rFonts w:cs="Arial"/>
          <w:szCs w:val="20"/>
          <w:lang w:val="en-GB"/>
        </w:rPr>
        <w:t xml:space="preserve">summarised from an </w:t>
      </w:r>
      <w:r w:rsidRPr="00EB0EE7">
        <w:rPr>
          <w:rFonts w:cs="Arial"/>
          <w:szCs w:val="20"/>
          <w:lang w:val="en-GB"/>
        </w:rPr>
        <w:t xml:space="preserve">ensemble of bias-corrected forecasts (25 members) </w:t>
      </w:r>
      <w:r>
        <w:rPr>
          <w:rFonts w:cs="Arial"/>
          <w:szCs w:val="20"/>
          <w:lang w:val="en-GB"/>
        </w:rPr>
        <w:t xml:space="preserve">generated </w:t>
      </w:r>
      <w:r w:rsidRPr="00EB0EE7">
        <w:rPr>
          <w:rFonts w:cs="Arial"/>
          <w:szCs w:val="20"/>
          <w:lang w:val="en-GB"/>
        </w:rPr>
        <w:t xml:space="preserve">by </w:t>
      </w:r>
      <w:r>
        <w:rPr>
          <w:rFonts w:cs="Arial"/>
          <w:szCs w:val="20"/>
          <w:lang w:val="en-GB"/>
        </w:rPr>
        <w:t xml:space="preserve">the </w:t>
      </w:r>
      <w:r w:rsidRPr="00EB0EE7">
        <w:rPr>
          <w:rFonts w:cs="Arial"/>
          <w:szCs w:val="20"/>
          <w:lang w:val="en-GB"/>
        </w:rPr>
        <w:t>ECMWF</w:t>
      </w:r>
      <w:r>
        <w:rPr>
          <w:rFonts w:cs="Arial"/>
          <w:szCs w:val="20"/>
          <w:lang w:val="en-GB"/>
        </w:rPr>
        <w:t>’s long-range forecasting system SEAS5 and accessed through the Copernicus Climate Data Store. ERA5 data was used for bias correction to local conditions</w:t>
      </w:r>
      <w:r w:rsidRPr="00EB0EE7">
        <w:rPr>
          <w:rFonts w:cs="Arial"/>
          <w:szCs w:val="20"/>
          <w:lang w:val="en-GB"/>
        </w:rPr>
        <w:t xml:space="preserve">. </w:t>
      </w:r>
    </w:p>
    <w:p w14:paraId="3AA32A86" w14:textId="5D111EA9" w:rsidR="00F47EB2" w:rsidRPr="009E3188" w:rsidRDefault="00DA6D85">
      <w:pPr>
        <w:rPr>
          <w:rFonts w:cs="Arial"/>
          <w:b/>
          <w:color w:val="4472C4" w:themeColor="accent1"/>
          <w:sz w:val="22"/>
          <w:lang w:val="en-GB"/>
        </w:rPr>
      </w:pPr>
      <w:r w:rsidRPr="009E3188">
        <w:rPr>
          <w:rFonts w:cs="Arial"/>
          <w:b/>
          <w:color w:val="4472C4" w:themeColor="accent1"/>
          <w:sz w:val="22"/>
          <w:lang w:val="en-GB"/>
        </w:rPr>
        <w:t>Forecasts of broad seasonal climate averages, not daily weather</w:t>
      </w:r>
      <w:r w:rsidR="00B4116C" w:rsidRPr="00B4116C">
        <w:rPr>
          <w:lang w:val="en-GB"/>
        </w:rPr>
        <w:t xml:space="preserve"> </w:t>
      </w:r>
    </w:p>
    <w:p w14:paraId="20A338B0" w14:textId="4BCA3EBE" w:rsidR="00F47EB2" w:rsidRDefault="00DA6D85">
      <w:pPr>
        <w:rPr>
          <w:rFonts w:cs="Arial"/>
          <w:lang w:val="en-GB"/>
        </w:rPr>
      </w:pPr>
      <w:r>
        <w:rPr>
          <w:rFonts w:cs="Arial"/>
          <w:lang w:val="en-GB"/>
        </w:rPr>
        <w:t xml:space="preserve">Seasonal </w:t>
      </w:r>
      <w:r w:rsidR="008C5282">
        <w:rPr>
          <w:rFonts w:cs="Arial"/>
          <w:lang w:val="en-GB"/>
        </w:rPr>
        <w:t>climate</w:t>
      </w:r>
      <w:r>
        <w:rPr>
          <w:rFonts w:cs="Arial"/>
          <w:lang w:val="en-GB"/>
        </w:rPr>
        <w:t xml:space="preserve"> forecasts are model predictions of how the weather will evolve over the next 3-6 months. Climate systems are chaotic and so these predictions, which look far out into the future, cannot be used to predict the day-to-day weather. Instead, they are used to look at whether the next 3-6 months will, on average, show broad differences to </w:t>
      </w:r>
      <w:r w:rsidR="008C5282">
        <w:rPr>
          <w:rFonts w:cs="Arial"/>
          <w:lang w:val="en-GB"/>
        </w:rPr>
        <w:t>normal</w:t>
      </w:r>
      <w:r>
        <w:rPr>
          <w:rFonts w:cs="Arial"/>
          <w:lang w:val="en-GB"/>
        </w:rPr>
        <w:t xml:space="preserve"> conditions. We adopt the common practice of summarising predictions in terms of whether they fall into one of three categories (for temperature and precipitation):</w:t>
      </w:r>
    </w:p>
    <w:p w14:paraId="30C281E5" w14:textId="057B0B0C" w:rsidR="00F47EB2" w:rsidRDefault="00DA6D85">
      <w:pPr>
        <w:pStyle w:val="ListParagraph"/>
        <w:numPr>
          <w:ilvl w:val="0"/>
          <w:numId w:val="1"/>
        </w:numPr>
      </w:pPr>
      <w:r>
        <w:rPr>
          <w:rFonts w:cs="Arial"/>
        </w:rPr>
        <w:t>Cooler/dryer than normal</w:t>
      </w:r>
    </w:p>
    <w:p w14:paraId="30FDEC62" w14:textId="5C6384FA" w:rsidR="00F47EB2" w:rsidRDefault="00DA6D85">
      <w:pPr>
        <w:pStyle w:val="ListParagraph"/>
        <w:numPr>
          <w:ilvl w:val="0"/>
          <w:numId w:val="1"/>
        </w:numPr>
      </w:pPr>
      <w:r>
        <w:rPr>
          <w:rFonts w:cs="Arial"/>
        </w:rPr>
        <w:t>Normal</w:t>
      </w:r>
    </w:p>
    <w:p w14:paraId="18623C4D" w14:textId="70F15ECF" w:rsidR="00F47EB2" w:rsidRDefault="00DA6D85">
      <w:pPr>
        <w:pStyle w:val="ListParagraph"/>
        <w:numPr>
          <w:ilvl w:val="0"/>
          <w:numId w:val="1"/>
        </w:numPr>
      </w:pPr>
      <w:r>
        <w:rPr>
          <w:rFonts w:cs="Arial"/>
        </w:rPr>
        <w:t>Warmer/wetter than normal</w:t>
      </w:r>
    </w:p>
    <w:p w14:paraId="0BB02181" w14:textId="77777777" w:rsidR="00F47EB2" w:rsidRDefault="00F47EB2">
      <w:pPr>
        <w:spacing w:after="0"/>
        <w:rPr>
          <w:rFonts w:cs="Arial"/>
          <w:lang w:val="en-GB"/>
        </w:rPr>
      </w:pPr>
    </w:p>
    <w:p w14:paraId="7F0208EF" w14:textId="783487E7" w:rsidR="00F47EB2" w:rsidRDefault="00DA6D85">
      <w:pPr>
        <w:rPr>
          <w:rFonts w:cs="Arial"/>
          <w:lang w:val="en-GB"/>
        </w:rPr>
      </w:pPr>
      <w:r>
        <w:rPr>
          <w:rFonts w:cs="Arial"/>
          <w:lang w:val="en-GB"/>
        </w:rPr>
        <w:t xml:space="preserve">The temperature/precipitation values which separate these three classes represent the </w:t>
      </w:r>
      <w:r>
        <w:rPr>
          <w:rFonts w:cs="Arial"/>
          <w:i/>
          <w:lang w:val="en-GB"/>
        </w:rPr>
        <w:t>terciles</w:t>
      </w:r>
      <w:r>
        <w:rPr>
          <w:rFonts w:cs="Arial"/>
          <w:lang w:val="en-GB"/>
        </w:rPr>
        <w:t xml:space="preserve"> of weather data over a historic period (1993-2019). i.e. historic seasonal forecast data for each variable are ordered and then split into three equal parts, each containing a third of the observations. In </w:t>
      </w:r>
      <w:proofErr w:type="spellStart"/>
      <w:r>
        <w:rPr>
          <w:rFonts w:cs="Arial"/>
          <w:lang w:val="en-GB"/>
        </w:rPr>
        <w:t>Vansjø</w:t>
      </w:r>
      <w:proofErr w:type="spellEnd"/>
      <w:r>
        <w:rPr>
          <w:rFonts w:cs="Arial"/>
          <w:lang w:val="en-GB"/>
        </w:rPr>
        <w:t>, the following boundaries define the terciles, and were used when categorising future predictions:</w:t>
      </w:r>
    </w:p>
    <w:tbl>
      <w:tblPr>
        <w:tblStyle w:val="TableGrid"/>
        <w:tblW w:w="10186"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1696"/>
        <w:gridCol w:w="2010"/>
      </w:tblGrid>
      <w:tr w:rsidR="00836310" w14:paraId="3A35E138" w14:textId="77777777" w:rsidTr="00677D62">
        <w:trPr>
          <w:jc w:val="center"/>
        </w:trPr>
        <w:tc>
          <w:tcPr>
            <w:tcW w:w="3240" w:type="dxa"/>
            <w:tcBorders>
              <w:bottom w:val="single" w:sz="4" w:space="0" w:color="auto"/>
            </w:tcBorders>
            <w:vAlign w:val="center"/>
          </w:tcPr>
          <w:p w14:paraId="6A44BB19" w14:textId="77777777" w:rsidR="00836310" w:rsidRPr="00677D62" w:rsidRDefault="00836310" w:rsidP="00677D62">
            <w:pPr>
              <w:spacing w:after="0" w:line="240" w:lineRule="auto"/>
              <w:jc w:val="center"/>
              <w:rPr>
                <w:rFonts w:cs="Arial"/>
                <w:b/>
                <w:szCs w:val="20"/>
                <w:lang w:val="en-GB"/>
              </w:rPr>
            </w:pPr>
            <w:r w:rsidRPr="00677D62">
              <w:rPr>
                <w:rFonts w:cs="Arial"/>
                <w:b/>
                <w:szCs w:val="20"/>
                <w:lang w:val="en-GB"/>
              </w:rPr>
              <w:t>Season</w:t>
            </w:r>
          </w:p>
          <w:p w14:paraId="7916C101" w14:textId="107B6E57" w:rsidR="00836310" w:rsidRPr="00677D62" w:rsidRDefault="00836310" w:rsidP="00677D62">
            <w:pPr>
              <w:spacing w:after="0" w:line="240" w:lineRule="auto"/>
              <w:jc w:val="center"/>
              <w:rPr>
                <w:rFonts w:cs="Arial"/>
                <w:b/>
                <w:szCs w:val="20"/>
                <w:lang w:val="en-GB"/>
              </w:rPr>
            </w:pPr>
          </w:p>
        </w:tc>
        <w:tc>
          <w:tcPr>
            <w:tcW w:w="3240" w:type="dxa"/>
            <w:tcBorders>
              <w:bottom w:val="single" w:sz="4" w:space="0" w:color="auto"/>
            </w:tcBorders>
            <w:shd w:val="clear" w:color="auto" w:fill="auto"/>
            <w:tcMar>
              <w:left w:w="108" w:type="dxa"/>
            </w:tcMar>
            <w:vAlign w:val="center"/>
          </w:tcPr>
          <w:p w14:paraId="0C1DA613" w14:textId="24234B91" w:rsidR="00836310" w:rsidRPr="00677D62" w:rsidRDefault="00836310" w:rsidP="00677D62">
            <w:pPr>
              <w:spacing w:after="0" w:line="240" w:lineRule="auto"/>
              <w:jc w:val="center"/>
              <w:rPr>
                <w:rFonts w:cs="Arial"/>
                <w:b/>
                <w:szCs w:val="20"/>
                <w:lang w:val="en-GB"/>
              </w:rPr>
            </w:pPr>
            <w:r w:rsidRPr="00677D62">
              <w:rPr>
                <w:rFonts w:cs="Arial"/>
                <w:b/>
                <w:szCs w:val="20"/>
                <w:lang w:val="en-GB"/>
              </w:rPr>
              <w:t>Class boundary</w:t>
            </w:r>
          </w:p>
        </w:tc>
        <w:tc>
          <w:tcPr>
            <w:tcW w:w="1696" w:type="dxa"/>
            <w:tcBorders>
              <w:bottom w:val="single" w:sz="4" w:space="0" w:color="auto"/>
            </w:tcBorders>
            <w:shd w:val="clear" w:color="auto" w:fill="auto"/>
            <w:tcMar>
              <w:left w:w="108" w:type="dxa"/>
            </w:tcMar>
            <w:vAlign w:val="center"/>
          </w:tcPr>
          <w:p w14:paraId="6878D415" w14:textId="1F1650C9" w:rsidR="00836310" w:rsidRPr="00677D62" w:rsidRDefault="00836310" w:rsidP="00677D62">
            <w:pPr>
              <w:spacing w:after="0" w:line="240" w:lineRule="auto"/>
              <w:jc w:val="center"/>
              <w:rPr>
                <w:rFonts w:cs="Arial"/>
                <w:b/>
                <w:szCs w:val="20"/>
                <w:lang w:val="en-GB"/>
              </w:rPr>
            </w:pPr>
            <w:r w:rsidRPr="00677D62">
              <w:rPr>
                <w:rFonts w:cs="Arial"/>
                <w:b/>
                <w:szCs w:val="20"/>
                <w:lang w:val="en-GB"/>
              </w:rPr>
              <w:t>Seasonal mean temperature</w:t>
            </w:r>
            <w:r w:rsidR="00677D62" w:rsidRPr="00677D62">
              <w:rPr>
                <w:rFonts w:cs="Arial"/>
                <w:b/>
                <w:szCs w:val="20"/>
                <w:lang w:val="en-GB"/>
              </w:rPr>
              <w:t xml:space="preserve"> (°C)</w:t>
            </w:r>
          </w:p>
        </w:tc>
        <w:tc>
          <w:tcPr>
            <w:tcW w:w="2010" w:type="dxa"/>
            <w:tcBorders>
              <w:bottom w:val="single" w:sz="4" w:space="0" w:color="auto"/>
            </w:tcBorders>
            <w:shd w:val="clear" w:color="auto" w:fill="auto"/>
            <w:tcMar>
              <w:left w:w="108" w:type="dxa"/>
            </w:tcMar>
            <w:vAlign w:val="center"/>
          </w:tcPr>
          <w:p w14:paraId="7E6D17C5" w14:textId="5E9166CE" w:rsidR="00836310" w:rsidRPr="00677D62" w:rsidRDefault="00836310" w:rsidP="00677D62">
            <w:pPr>
              <w:spacing w:after="0" w:line="240" w:lineRule="auto"/>
              <w:jc w:val="center"/>
              <w:rPr>
                <w:rFonts w:cs="Arial"/>
                <w:b/>
                <w:szCs w:val="20"/>
                <w:lang w:val="en-GB"/>
              </w:rPr>
            </w:pPr>
            <w:r w:rsidRPr="00677D62">
              <w:rPr>
                <w:rFonts w:cs="Arial"/>
                <w:b/>
                <w:szCs w:val="20"/>
                <w:lang w:val="en-GB"/>
              </w:rPr>
              <w:t>Seasonal precipitation sum</w:t>
            </w:r>
            <w:r w:rsidR="00677D62" w:rsidRPr="00677D62">
              <w:rPr>
                <w:rFonts w:cs="Arial"/>
                <w:b/>
                <w:szCs w:val="20"/>
                <w:lang w:val="en-GB"/>
              </w:rPr>
              <w:t xml:space="preserve"> (mm)</w:t>
            </w:r>
          </w:p>
        </w:tc>
      </w:tr>
      <w:tr w:rsidR="00677D62" w14:paraId="71F16F05" w14:textId="77777777" w:rsidTr="00677D62">
        <w:trPr>
          <w:jc w:val="center"/>
        </w:trPr>
        <w:tc>
          <w:tcPr>
            <w:tcW w:w="3240" w:type="dxa"/>
            <w:vMerge w:val="restart"/>
            <w:tcBorders>
              <w:top w:val="single" w:sz="4" w:space="0" w:color="auto"/>
            </w:tcBorders>
            <w:shd w:val="clear" w:color="auto" w:fill="EDEDED" w:themeFill="accent3" w:themeFillTint="33"/>
            <w:vAlign w:val="center"/>
          </w:tcPr>
          <w:p w14:paraId="4074E899" w14:textId="00FD38EA" w:rsidR="00677D62" w:rsidRPr="00677D62" w:rsidRDefault="00677D62" w:rsidP="00677D62">
            <w:pPr>
              <w:spacing w:after="0" w:line="240" w:lineRule="auto"/>
              <w:jc w:val="center"/>
              <w:rPr>
                <w:rFonts w:cs="Arial"/>
                <w:szCs w:val="20"/>
                <w:lang w:val="en-GB"/>
              </w:rPr>
            </w:pPr>
            <w:r w:rsidRPr="00677D62">
              <w:rPr>
                <w:rFonts w:cs="Arial"/>
                <w:szCs w:val="20"/>
                <w:lang w:val="en-GB"/>
              </w:rPr>
              <w:t>Early summer</w:t>
            </w:r>
          </w:p>
        </w:tc>
        <w:tc>
          <w:tcPr>
            <w:tcW w:w="3240" w:type="dxa"/>
            <w:tcBorders>
              <w:top w:val="single" w:sz="4" w:space="0" w:color="auto"/>
            </w:tcBorders>
            <w:shd w:val="clear" w:color="auto" w:fill="EDEDED" w:themeFill="accent3" w:themeFillTint="33"/>
            <w:tcMar>
              <w:left w:w="108" w:type="dxa"/>
            </w:tcMar>
            <w:vAlign w:val="center"/>
          </w:tcPr>
          <w:p w14:paraId="400DF68A" w14:textId="78F74091" w:rsidR="00677D62" w:rsidRPr="00677D62" w:rsidRDefault="00677D62" w:rsidP="00677D62">
            <w:pPr>
              <w:spacing w:after="0" w:line="240" w:lineRule="auto"/>
              <w:jc w:val="center"/>
              <w:rPr>
                <w:rFonts w:cs="Arial"/>
                <w:szCs w:val="20"/>
                <w:lang w:val="en-GB"/>
              </w:rPr>
            </w:pPr>
            <w:r w:rsidRPr="00677D62">
              <w:rPr>
                <w:rFonts w:cs="Arial"/>
                <w:szCs w:val="20"/>
                <w:lang w:val="en-GB"/>
              </w:rPr>
              <w:t>Below normal – Normal</w:t>
            </w:r>
          </w:p>
        </w:tc>
        <w:tc>
          <w:tcPr>
            <w:tcW w:w="1696" w:type="dxa"/>
            <w:tcBorders>
              <w:top w:val="single" w:sz="4" w:space="0" w:color="auto"/>
            </w:tcBorders>
            <w:shd w:val="clear" w:color="auto" w:fill="EDEDED" w:themeFill="accent3" w:themeFillTint="33"/>
            <w:tcMar>
              <w:left w:w="108" w:type="dxa"/>
            </w:tcMar>
            <w:vAlign w:val="center"/>
          </w:tcPr>
          <w:p w14:paraId="72B7D3C3" w14:textId="1E4E1D6F" w:rsidR="00677D62" w:rsidRPr="00677D62" w:rsidRDefault="00677D62" w:rsidP="00677D62">
            <w:pPr>
              <w:spacing w:after="0" w:line="240" w:lineRule="auto"/>
              <w:jc w:val="right"/>
              <w:rPr>
                <w:rFonts w:cs="Arial"/>
                <w:szCs w:val="20"/>
                <w:lang w:val="en-GB"/>
              </w:rPr>
            </w:pPr>
            <w:r w:rsidRPr="00677D62">
              <w:rPr>
                <w:rFonts w:cs="Arial"/>
                <w:szCs w:val="20"/>
                <w:lang w:val="en-GB"/>
              </w:rPr>
              <w:t>14.3</w:t>
            </w:r>
          </w:p>
        </w:tc>
        <w:tc>
          <w:tcPr>
            <w:tcW w:w="2010" w:type="dxa"/>
            <w:tcBorders>
              <w:top w:val="single" w:sz="4" w:space="0" w:color="auto"/>
            </w:tcBorders>
            <w:shd w:val="clear" w:color="auto" w:fill="EDEDED" w:themeFill="accent3" w:themeFillTint="33"/>
            <w:tcMar>
              <w:left w:w="108" w:type="dxa"/>
            </w:tcMar>
            <w:vAlign w:val="center"/>
          </w:tcPr>
          <w:p w14:paraId="1143D28F" w14:textId="0CC51C11" w:rsidR="00677D62" w:rsidRPr="00677D62" w:rsidRDefault="00677D62" w:rsidP="00677D62">
            <w:pPr>
              <w:spacing w:after="0" w:line="240" w:lineRule="auto"/>
              <w:jc w:val="right"/>
              <w:rPr>
                <w:rFonts w:cs="Arial"/>
                <w:szCs w:val="20"/>
                <w:lang w:val="en-GB"/>
              </w:rPr>
            </w:pPr>
            <w:r w:rsidRPr="00677D62">
              <w:rPr>
                <w:rFonts w:cs="Arial"/>
                <w:szCs w:val="20"/>
                <w:lang w:val="en-GB"/>
              </w:rPr>
              <w:t>209</w:t>
            </w:r>
          </w:p>
        </w:tc>
      </w:tr>
      <w:tr w:rsidR="00677D62" w14:paraId="3F7B1354" w14:textId="77777777" w:rsidTr="00677D62">
        <w:trPr>
          <w:jc w:val="center"/>
        </w:trPr>
        <w:tc>
          <w:tcPr>
            <w:tcW w:w="3240" w:type="dxa"/>
            <w:vMerge/>
            <w:shd w:val="clear" w:color="auto" w:fill="EDEDED" w:themeFill="accent3" w:themeFillTint="33"/>
            <w:vAlign w:val="center"/>
          </w:tcPr>
          <w:p w14:paraId="46AA9715" w14:textId="77777777" w:rsidR="00677D62" w:rsidRPr="00677D62" w:rsidRDefault="00677D62" w:rsidP="00677D62">
            <w:pPr>
              <w:spacing w:after="0" w:line="240" w:lineRule="auto"/>
              <w:jc w:val="center"/>
              <w:rPr>
                <w:rFonts w:cs="Arial"/>
                <w:szCs w:val="20"/>
                <w:lang w:val="en-GB"/>
              </w:rPr>
            </w:pPr>
          </w:p>
        </w:tc>
        <w:tc>
          <w:tcPr>
            <w:tcW w:w="3240" w:type="dxa"/>
            <w:shd w:val="clear" w:color="auto" w:fill="EDEDED" w:themeFill="accent3" w:themeFillTint="33"/>
            <w:tcMar>
              <w:left w:w="108" w:type="dxa"/>
            </w:tcMar>
            <w:vAlign w:val="center"/>
          </w:tcPr>
          <w:p w14:paraId="563D0010" w14:textId="600BFB0A" w:rsidR="00677D62" w:rsidRPr="00677D62" w:rsidRDefault="00677D62" w:rsidP="00677D62">
            <w:pPr>
              <w:spacing w:after="0" w:line="240" w:lineRule="auto"/>
              <w:jc w:val="center"/>
              <w:rPr>
                <w:rFonts w:cs="Arial"/>
                <w:szCs w:val="20"/>
                <w:lang w:val="en-GB"/>
              </w:rPr>
            </w:pPr>
            <w:r w:rsidRPr="00677D62">
              <w:rPr>
                <w:rFonts w:cs="Arial"/>
                <w:szCs w:val="20"/>
                <w:lang w:val="en-GB"/>
              </w:rPr>
              <w:t>Normal – Above normal</w:t>
            </w:r>
          </w:p>
        </w:tc>
        <w:tc>
          <w:tcPr>
            <w:tcW w:w="1696" w:type="dxa"/>
            <w:shd w:val="clear" w:color="auto" w:fill="EDEDED" w:themeFill="accent3" w:themeFillTint="33"/>
            <w:tcMar>
              <w:left w:w="108" w:type="dxa"/>
            </w:tcMar>
            <w:vAlign w:val="center"/>
          </w:tcPr>
          <w:p w14:paraId="7D38395B" w14:textId="63ECC43D" w:rsidR="00677D62" w:rsidRPr="00677D62" w:rsidRDefault="00677D62" w:rsidP="00677D62">
            <w:pPr>
              <w:spacing w:after="0" w:line="240" w:lineRule="auto"/>
              <w:jc w:val="right"/>
              <w:rPr>
                <w:rFonts w:cs="Arial"/>
                <w:szCs w:val="20"/>
                <w:lang w:val="en-GB"/>
              </w:rPr>
            </w:pPr>
            <w:r w:rsidRPr="00677D62">
              <w:rPr>
                <w:rFonts w:cs="Arial"/>
                <w:szCs w:val="20"/>
                <w:lang w:val="en-GB"/>
              </w:rPr>
              <w:t>15.1</w:t>
            </w:r>
          </w:p>
        </w:tc>
        <w:tc>
          <w:tcPr>
            <w:tcW w:w="2010" w:type="dxa"/>
            <w:shd w:val="clear" w:color="auto" w:fill="EDEDED" w:themeFill="accent3" w:themeFillTint="33"/>
            <w:tcMar>
              <w:left w:w="108" w:type="dxa"/>
            </w:tcMar>
            <w:vAlign w:val="center"/>
          </w:tcPr>
          <w:p w14:paraId="70FD4633" w14:textId="225722AB" w:rsidR="00677D62" w:rsidRPr="00677D62" w:rsidRDefault="00677D62" w:rsidP="00677D62">
            <w:pPr>
              <w:spacing w:after="0" w:line="240" w:lineRule="auto"/>
              <w:jc w:val="right"/>
              <w:rPr>
                <w:rFonts w:cs="Arial"/>
                <w:szCs w:val="20"/>
                <w:lang w:val="en-GB"/>
              </w:rPr>
            </w:pPr>
            <w:r w:rsidRPr="00677D62">
              <w:rPr>
                <w:rFonts w:cs="Arial"/>
                <w:szCs w:val="20"/>
                <w:lang w:val="en-GB"/>
              </w:rPr>
              <w:t>265</w:t>
            </w:r>
          </w:p>
        </w:tc>
      </w:tr>
      <w:tr w:rsidR="00677D62" w14:paraId="6FC837C5" w14:textId="77777777" w:rsidTr="00677D62">
        <w:trPr>
          <w:jc w:val="center"/>
        </w:trPr>
        <w:tc>
          <w:tcPr>
            <w:tcW w:w="3240" w:type="dxa"/>
            <w:vMerge w:val="restart"/>
            <w:vAlign w:val="center"/>
          </w:tcPr>
          <w:p w14:paraId="11D89CE7" w14:textId="76DCC488" w:rsidR="00677D62" w:rsidRPr="00677D62" w:rsidRDefault="00677D62" w:rsidP="00677D62">
            <w:pPr>
              <w:spacing w:after="0" w:line="240" w:lineRule="auto"/>
              <w:jc w:val="center"/>
              <w:rPr>
                <w:rFonts w:cs="Arial"/>
                <w:szCs w:val="20"/>
                <w:lang w:val="en-GB"/>
              </w:rPr>
            </w:pPr>
            <w:r w:rsidRPr="00677D62">
              <w:rPr>
                <w:rFonts w:cs="Arial"/>
                <w:szCs w:val="20"/>
                <w:lang w:val="en-GB"/>
              </w:rPr>
              <w:t>Late summer</w:t>
            </w:r>
          </w:p>
        </w:tc>
        <w:tc>
          <w:tcPr>
            <w:tcW w:w="3240" w:type="dxa"/>
            <w:shd w:val="clear" w:color="auto" w:fill="auto"/>
            <w:tcMar>
              <w:left w:w="108" w:type="dxa"/>
            </w:tcMar>
            <w:vAlign w:val="center"/>
          </w:tcPr>
          <w:p w14:paraId="3E07F7ED" w14:textId="29FF7DC7" w:rsidR="00677D62" w:rsidRPr="00677D62" w:rsidRDefault="00677D62" w:rsidP="00677D62">
            <w:pPr>
              <w:spacing w:after="0" w:line="240" w:lineRule="auto"/>
              <w:jc w:val="center"/>
              <w:rPr>
                <w:rFonts w:cs="Arial"/>
                <w:szCs w:val="20"/>
                <w:lang w:val="en-GB"/>
              </w:rPr>
            </w:pPr>
            <w:r w:rsidRPr="00677D62">
              <w:rPr>
                <w:rFonts w:cs="Arial"/>
                <w:szCs w:val="20"/>
                <w:lang w:val="en-GB"/>
              </w:rPr>
              <w:t>Below normal – Normal</w:t>
            </w:r>
          </w:p>
        </w:tc>
        <w:tc>
          <w:tcPr>
            <w:tcW w:w="1696" w:type="dxa"/>
            <w:shd w:val="clear" w:color="auto" w:fill="auto"/>
            <w:tcMar>
              <w:left w:w="108" w:type="dxa"/>
            </w:tcMar>
            <w:vAlign w:val="center"/>
          </w:tcPr>
          <w:p w14:paraId="52BF06CE" w14:textId="78DA9FD4" w:rsidR="00677D62" w:rsidRPr="00677D62" w:rsidRDefault="00677D62" w:rsidP="00677D62">
            <w:pPr>
              <w:spacing w:after="0" w:line="240" w:lineRule="auto"/>
              <w:jc w:val="right"/>
            </w:pPr>
            <w:r w:rsidRPr="00677D62">
              <w:t>11.6</w:t>
            </w:r>
          </w:p>
        </w:tc>
        <w:tc>
          <w:tcPr>
            <w:tcW w:w="2010" w:type="dxa"/>
            <w:shd w:val="clear" w:color="auto" w:fill="auto"/>
            <w:tcMar>
              <w:left w:w="108" w:type="dxa"/>
            </w:tcMar>
            <w:vAlign w:val="center"/>
          </w:tcPr>
          <w:p w14:paraId="0574E029" w14:textId="1894CF89" w:rsidR="00677D62" w:rsidRPr="00677D62" w:rsidRDefault="00677D62" w:rsidP="00677D62">
            <w:pPr>
              <w:spacing w:after="0" w:line="240" w:lineRule="auto"/>
              <w:jc w:val="right"/>
              <w:rPr>
                <w:rFonts w:cs="Arial"/>
                <w:szCs w:val="20"/>
                <w:lang w:val="en-GB"/>
              </w:rPr>
            </w:pPr>
            <w:r w:rsidRPr="00677D62">
              <w:rPr>
                <w:rFonts w:cs="Arial"/>
                <w:szCs w:val="20"/>
                <w:lang w:val="en-GB"/>
              </w:rPr>
              <w:t>219</w:t>
            </w:r>
          </w:p>
        </w:tc>
      </w:tr>
      <w:tr w:rsidR="00677D62" w14:paraId="49E0E8F6" w14:textId="77777777" w:rsidTr="00677D62">
        <w:trPr>
          <w:jc w:val="center"/>
        </w:trPr>
        <w:tc>
          <w:tcPr>
            <w:tcW w:w="3240" w:type="dxa"/>
            <w:vMerge/>
            <w:vAlign w:val="center"/>
          </w:tcPr>
          <w:p w14:paraId="7F123180" w14:textId="77777777" w:rsidR="00677D62" w:rsidRPr="00677D62" w:rsidRDefault="00677D62" w:rsidP="00677D62">
            <w:pPr>
              <w:spacing w:after="0" w:line="240" w:lineRule="auto"/>
              <w:jc w:val="center"/>
              <w:rPr>
                <w:rFonts w:cs="Arial"/>
                <w:szCs w:val="20"/>
                <w:lang w:val="en-GB"/>
              </w:rPr>
            </w:pPr>
          </w:p>
        </w:tc>
        <w:tc>
          <w:tcPr>
            <w:tcW w:w="3240" w:type="dxa"/>
            <w:shd w:val="clear" w:color="auto" w:fill="auto"/>
            <w:tcMar>
              <w:left w:w="108" w:type="dxa"/>
            </w:tcMar>
            <w:vAlign w:val="center"/>
          </w:tcPr>
          <w:p w14:paraId="78020028" w14:textId="49890459" w:rsidR="00677D62" w:rsidRPr="00677D62" w:rsidRDefault="00677D62" w:rsidP="00677D62">
            <w:pPr>
              <w:spacing w:after="0" w:line="240" w:lineRule="auto"/>
              <w:jc w:val="center"/>
              <w:rPr>
                <w:rFonts w:cs="Arial"/>
                <w:szCs w:val="20"/>
                <w:lang w:val="en-GB"/>
              </w:rPr>
            </w:pPr>
            <w:r w:rsidRPr="00677D62">
              <w:rPr>
                <w:rFonts w:cs="Arial"/>
                <w:szCs w:val="20"/>
                <w:lang w:val="en-GB"/>
              </w:rPr>
              <w:t>Normal – Above normal</w:t>
            </w:r>
          </w:p>
        </w:tc>
        <w:tc>
          <w:tcPr>
            <w:tcW w:w="1696" w:type="dxa"/>
            <w:shd w:val="clear" w:color="auto" w:fill="auto"/>
            <w:tcMar>
              <w:left w:w="108" w:type="dxa"/>
            </w:tcMar>
            <w:vAlign w:val="center"/>
          </w:tcPr>
          <w:p w14:paraId="7FCD027A" w14:textId="44612462" w:rsidR="00677D62" w:rsidRPr="00677D62" w:rsidRDefault="00677D62" w:rsidP="00677D62">
            <w:pPr>
              <w:spacing w:after="0" w:line="240" w:lineRule="auto"/>
              <w:jc w:val="right"/>
            </w:pPr>
            <w:r w:rsidRPr="00677D62">
              <w:t>12.4</w:t>
            </w:r>
          </w:p>
        </w:tc>
        <w:tc>
          <w:tcPr>
            <w:tcW w:w="2010" w:type="dxa"/>
            <w:shd w:val="clear" w:color="auto" w:fill="auto"/>
            <w:tcMar>
              <w:left w:w="108" w:type="dxa"/>
            </w:tcMar>
            <w:vAlign w:val="center"/>
          </w:tcPr>
          <w:p w14:paraId="76E4FD93" w14:textId="7595F1DD" w:rsidR="00677D62" w:rsidRPr="00677D62" w:rsidRDefault="00677D62" w:rsidP="00677D62">
            <w:pPr>
              <w:spacing w:after="0" w:line="240" w:lineRule="auto"/>
              <w:jc w:val="right"/>
              <w:rPr>
                <w:rFonts w:cs="Arial"/>
                <w:szCs w:val="20"/>
                <w:lang w:val="en-GB"/>
              </w:rPr>
            </w:pPr>
            <w:r w:rsidRPr="00677D62">
              <w:rPr>
                <w:rFonts w:cs="Arial"/>
                <w:szCs w:val="20"/>
                <w:lang w:val="en-GB"/>
              </w:rPr>
              <w:t>294</w:t>
            </w:r>
          </w:p>
        </w:tc>
      </w:tr>
      <w:tr w:rsidR="00677D62" w14:paraId="6C8245AA" w14:textId="77777777" w:rsidTr="00677D62">
        <w:trPr>
          <w:jc w:val="center"/>
        </w:trPr>
        <w:tc>
          <w:tcPr>
            <w:tcW w:w="3240" w:type="dxa"/>
            <w:vMerge w:val="restart"/>
            <w:shd w:val="clear" w:color="auto" w:fill="EDEDED" w:themeFill="accent3" w:themeFillTint="33"/>
            <w:vAlign w:val="center"/>
          </w:tcPr>
          <w:p w14:paraId="0588B76B" w14:textId="42D11715" w:rsidR="00677D62" w:rsidRPr="00677D62" w:rsidRDefault="00677D62" w:rsidP="00677D62">
            <w:pPr>
              <w:spacing w:after="0" w:line="240" w:lineRule="auto"/>
              <w:jc w:val="center"/>
              <w:rPr>
                <w:rFonts w:cs="Arial"/>
                <w:szCs w:val="20"/>
                <w:lang w:val="en-GB"/>
              </w:rPr>
            </w:pPr>
            <w:r w:rsidRPr="00677D62">
              <w:rPr>
                <w:rFonts w:cs="Arial"/>
                <w:szCs w:val="20"/>
                <w:lang w:val="en-GB"/>
              </w:rPr>
              <w:t>Early winter</w:t>
            </w:r>
          </w:p>
        </w:tc>
        <w:tc>
          <w:tcPr>
            <w:tcW w:w="3240" w:type="dxa"/>
            <w:shd w:val="clear" w:color="auto" w:fill="EDEDED" w:themeFill="accent3" w:themeFillTint="33"/>
            <w:tcMar>
              <w:left w:w="108" w:type="dxa"/>
            </w:tcMar>
            <w:vAlign w:val="center"/>
          </w:tcPr>
          <w:p w14:paraId="68F12A88" w14:textId="426AF283" w:rsidR="00677D62" w:rsidRPr="00677D62" w:rsidRDefault="00677D62" w:rsidP="00677D62">
            <w:pPr>
              <w:spacing w:after="0" w:line="240" w:lineRule="auto"/>
              <w:jc w:val="center"/>
              <w:rPr>
                <w:rFonts w:cs="Arial"/>
                <w:szCs w:val="20"/>
                <w:lang w:val="en-GB"/>
              </w:rPr>
            </w:pPr>
            <w:r w:rsidRPr="00677D62">
              <w:rPr>
                <w:rFonts w:cs="Arial"/>
                <w:szCs w:val="20"/>
                <w:lang w:val="en-GB"/>
              </w:rPr>
              <w:t>Below normal – Normal</w:t>
            </w:r>
          </w:p>
        </w:tc>
        <w:tc>
          <w:tcPr>
            <w:tcW w:w="1696" w:type="dxa"/>
            <w:shd w:val="clear" w:color="auto" w:fill="EDEDED" w:themeFill="accent3" w:themeFillTint="33"/>
            <w:tcMar>
              <w:left w:w="108" w:type="dxa"/>
            </w:tcMar>
            <w:vAlign w:val="center"/>
          </w:tcPr>
          <w:p w14:paraId="06F9991F" w14:textId="09B01A05" w:rsidR="00677D62" w:rsidRPr="00677D62" w:rsidRDefault="00677D62" w:rsidP="00677D62">
            <w:pPr>
              <w:spacing w:after="0" w:line="240" w:lineRule="auto"/>
              <w:jc w:val="right"/>
            </w:pPr>
            <w:r w:rsidRPr="00677D62">
              <w:t>-1.2</w:t>
            </w:r>
          </w:p>
        </w:tc>
        <w:tc>
          <w:tcPr>
            <w:tcW w:w="2010" w:type="dxa"/>
            <w:shd w:val="clear" w:color="auto" w:fill="EDEDED" w:themeFill="accent3" w:themeFillTint="33"/>
            <w:tcMar>
              <w:left w:w="108" w:type="dxa"/>
            </w:tcMar>
            <w:vAlign w:val="center"/>
          </w:tcPr>
          <w:p w14:paraId="3073FB73" w14:textId="1863826D" w:rsidR="00677D62" w:rsidRPr="00677D62" w:rsidRDefault="00677D62" w:rsidP="00677D62">
            <w:pPr>
              <w:spacing w:after="0" w:line="240" w:lineRule="auto"/>
              <w:jc w:val="right"/>
              <w:rPr>
                <w:rFonts w:cs="Arial"/>
                <w:szCs w:val="20"/>
                <w:lang w:val="en-GB"/>
              </w:rPr>
            </w:pPr>
            <w:r w:rsidRPr="00677D62">
              <w:rPr>
                <w:rFonts w:cs="Arial"/>
                <w:szCs w:val="20"/>
                <w:lang w:val="en-GB"/>
              </w:rPr>
              <w:t>124</w:t>
            </w:r>
          </w:p>
        </w:tc>
      </w:tr>
      <w:tr w:rsidR="00677D62" w14:paraId="6BEA065C" w14:textId="77777777" w:rsidTr="00677D62">
        <w:trPr>
          <w:jc w:val="center"/>
        </w:trPr>
        <w:tc>
          <w:tcPr>
            <w:tcW w:w="3240" w:type="dxa"/>
            <w:vMerge/>
            <w:shd w:val="clear" w:color="auto" w:fill="EDEDED" w:themeFill="accent3" w:themeFillTint="33"/>
            <w:vAlign w:val="center"/>
          </w:tcPr>
          <w:p w14:paraId="19836AB1" w14:textId="77777777" w:rsidR="00677D62" w:rsidRPr="00677D62" w:rsidRDefault="00677D62" w:rsidP="00677D62">
            <w:pPr>
              <w:spacing w:after="0" w:line="240" w:lineRule="auto"/>
              <w:jc w:val="center"/>
              <w:rPr>
                <w:rFonts w:cs="Arial"/>
                <w:szCs w:val="20"/>
                <w:lang w:val="en-GB"/>
              </w:rPr>
            </w:pPr>
          </w:p>
        </w:tc>
        <w:tc>
          <w:tcPr>
            <w:tcW w:w="3240" w:type="dxa"/>
            <w:shd w:val="clear" w:color="auto" w:fill="EDEDED" w:themeFill="accent3" w:themeFillTint="33"/>
            <w:tcMar>
              <w:left w:w="108" w:type="dxa"/>
            </w:tcMar>
            <w:vAlign w:val="center"/>
          </w:tcPr>
          <w:p w14:paraId="61A0C48B" w14:textId="1BE675D7" w:rsidR="00677D62" w:rsidRPr="00677D62" w:rsidRDefault="00677D62" w:rsidP="00677D62">
            <w:pPr>
              <w:spacing w:after="0" w:line="240" w:lineRule="auto"/>
              <w:jc w:val="center"/>
              <w:rPr>
                <w:rFonts w:cs="Arial"/>
                <w:szCs w:val="20"/>
                <w:lang w:val="en-GB"/>
              </w:rPr>
            </w:pPr>
            <w:r w:rsidRPr="00677D62">
              <w:rPr>
                <w:rFonts w:cs="Arial"/>
                <w:szCs w:val="20"/>
                <w:lang w:val="en-GB"/>
              </w:rPr>
              <w:t>Normal – Above normal</w:t>
            </w:r>
          </w:p>
        </w:tc>
        <w:tc>
          <w:tcPr>
            <w:tcW w:w="1696" w:type="dxa"/>
            <w:shd w:val="clear" w:color="auto" w:fill="EDEDED" w:themeFill="accent3" w:themeFillTint="33"/>
            <w:tcMar>
              <w:left w:w="108" w:type="dxa"/>
            </w:tcMar>
            <w:vAlign w:val="center"/>
          </w:tcPr>
          <w:p w14:paraId="6FA0E3D5" w14:textId="52027621" w:rsidR="00677D62" w:rsidRPr="00677D62" w:rsidRDefault="00677D62" w:rsidP="00677D62">
            <w:pPr>
              <w:spacing w:after="0" w:line="240" w:lineRule="auto"/>
              <w:jc w:val="right"/>
            </w:pPr>
            <w:r w:rsidRPr="00677D62">
              <w:t>0.5</w:t>
            </w:r>
          </w:p>
        </w:tc>
        <w:tc>
          <w:tcPr>
            <w:tcW w:w="2010" w:type="dxa"/>
            <w:shd w:val="clear" w:color="auto" w:fill="EDEDED" w:themeFill="accent3" w:themeFillTint="33"/>
            <w:tcMar>
              <w:left w:w="108" w:type="dxa"/>
            </w:tcMar>
            <w:vAlign w:val="center"/>
          </w:tcPr>
          <w:p w14:paraId="0A514C55" w14:textId="2407266F" w:rsidR="00677D62" w:rsidRPr="00677D62" w:rsidRDefault="00677D62" w:rsidP="00677D62">
            <w:pPr>
              <w:spacing w:after="0" w:line="240" w:lineRule="auto"/>
              <w:jc w:val="right"/>
              <w:rPr>
                <w:rFonts w:cs="Arial"/>
                <w:szCs w:val="20"/>
                <w:lang w:val="en-GB"/>
              </w:rPr>
            </w:pPr>
            <w:r w:rsidRPr="00677D62">
              <w:rPr>
                <w:rFonts w:cs="Arial"/>
                <w:szCs w:val="20"/>
                <w:lang w:val="en-GB"/>
              </w:rPr>
              <w:t>173</w:t>
            </w:r>
          </w:p>
        </w:tc>
      </w:tr>
      <w:tr w:rsidR="00677D62" w14:paraId="4754D8EC" w14:textId="77777777" w:rsidTr="00677D62">
        <w:trPr>
          <w:jc w:val="center"/>
        </w:trPr>
        <w:tc>
          <w:tcPr>
            <w:tcW w:w="3240" w:type="dxa"/>
            <w:vMerge w:val="restart"/>
            <w:vAlign w:val="center"/>
          </w:tcPr>
          <w:p w14:paraId="0D99F125" w14:textId="6891D8C3" w:rsidR="00677D62" w:rsidRPr="00677D62" w:rsidRDefault="00677D62" w:rsidP="00677D62">
            <w:pPr>
              <w:spacing w:after="0" w:line="240" w:lineRule="auto"/>
              <w:jc w:val="center"/>
              <w:rPr>
                <w:rFonts w:cs="Arial"/>
                <w:szCs w:val="20"/>
                <w:lang w:val="en-GB"/>
              </w:rPr>
            </w:pPr>
            <w:r w:rsidRPr="00677D62">
              <w:rPr>
                <w:rFonts w:cs="Arial"/>
                <w:szCs w:val="20"/>
                <w:lang w:val="en-GB"/>
              </w:rPr>
              <w:t>Late winter</w:t>
            </w:r>
          </w:p>
        </w:tc>
        <w:tc>
          <w:tcPr>
            <w:tcW w:w="3240" w:type="dxa"/>
            <w:shd w:val="clear" w:color="auto" w:fill="auto"/>
            <w:tcMar>
              <w:left w:w="108" w:type="dxa"/>
            </w:tcMar>
            <w:vAlign w:val="center"/>
          </w:tcPr>
          <w:p w14:paraId="65C4CF83" w14:textId="3266C04C" w:rsidR="00677D62" w:rsidRPr="00677D62" w:rsidRDefault="00677D62" w:rsidP="00677D62">
            <w:pPr>
              <w:spacing w:after="0" w:line="240" w:lineRule="auto"/>
              <w:jc w:val="center"/>
              <w:rPr>
                <w:rFonts w:cs="Arial"/>
                <w:szCs w:val="20"/>
                <w:lang w:val="en-GB"/>
              </w:rPr>
            </w:pPr>
            <w:r w:rsidRPr="00677D62">
              <w:rPr>
                <w:rFonts w:cs="Arial"/>
                <w:szCs w:val="20"/>
                <w:lang w:val="en-GB"/>
              </w:rPr>
              <w:t>Below normal – Normal</w:t>
            </w:r>
          </w:p>
        </w:tc>
        <w:tc>
          <w:tcPr>
            <w:tcW w:w="1696" w:type="dxa"/>
            <w:shd w:val="clear" w:color="auto" w:fill="auto"/>
            <w:tcMar>
              <w:left w:w="108" w:type="dxa"/>
            </w:tcMar>
            <w:vAlign w:val="center"/>
          </w:tcPr>
          <w:p w14:paraId="4A59C1D6" w14:textId="25F1D10C" w:rsidR="00677D62" w:rsidRPr="00677D62" w:rsidRDefault="00677D62" w:rsidP="00677D62">
            <w:pPr>
              <w:spacing w:after="0" w:line="240" w:lineRule="auto"/>
              <w:jc w:val="right"/>
            </w:pPr>
            <w:r w:rsidRPr="00677D62">
              <w:t>1.2</w:t>
            </w:r>
          </w:p>
        </w:tc>
        <w:tc>
          <w:tcPr>
            <w:tcW w:w="2010" w:type="dxa"/>
            <w:shd w:val="clear" w:color="auto" w:fill="auto"/>
            <w:tcMar>
              <w:left w:w="108" w:type="dxa"/>
            </w:tcMar>
            <w:vAlign w:val="center"/>
          </w:tcPr>
          <w:p w14:paraId="706E0222" w14:textId="5CF717E9" w:rsidR="00677D62" w:rsidRPr="00677D62" w:rsidRDefault="00677D62" w:rsidP="00677D62">
            <w:pPr>
              <w:spacing w:after="0" w:line="240" w:lineRule="auto"/>
              <w:jc w:val="right"/>
              <w:rPr>
                <w:rFonts w:cs="Arial"/>
                <w:szCs w:val="20"/>
                <w:lang w:val="en-GB"/>
              </w:rPr>
            </w:pPr>
            <w:r w:rsidRPr="00677D62">
              <w:rPr>
                <w:rFonts w:cs="Arial"/>
                <w:szCs w:val="20"/>
                <w:lang w:val="en-GB"/>
              </w:rPr>
              <w:t>185</w:t>
            </w:r>
          </w:p>
        </w:tc>
      </w:tr>
      <w:tr w:rsidR="00677D62" w14:paraId="4B93A69A" w14:textId="77777777" w:rsidTr="00836310">
        <w:trPr>
          <w:jc w:val="center"/>
        </w:trPr>
        <w:tc>
          <w:tcPr>
            <w:tcW w:w="3240" w:type="dxa"/>
            <w:vMerge/>
          </w:tcPr>
          <w:p w14:paraId="2EC34DBB" w14:textId="77777777" w:rsidR="00677D62" w:rsidRPr="00677D62" w:rsidRDefault="00677D62" w:rsidP="00677D62">
            <w:pPr>
              <w:spacing w:after="0" w:line="240" w:lineRule="auto"/>
              <w:jc w:val="center"/>
              <w:rPr>
                <w:rFonts w:cs="Arial"/>
                <w:szCs w:val="20"/>
                <w:lang w:val="en-GB"/>
              </w:rPr>
            </w:pPr>
          </w:p>
        </w:tc>
        <w:tc>
          <w:tcPr>
            <w:tcW w:w="3240" w:type="dxa"/>
            <w:shd w:val="clear" w:color="auto" w:fill="auto"/>
            <w:tcMar>
              <w:left w:w="108" w:type="dxa"/>
            </w:tcMar>
            <w:vAlign w:val="center"/>
          </w:tcPr>
          <w:p w14:paraId="1589C6B8" w14:textId="7A6B326A" w:rsidR="00677D62" w:rsidRPr="00677D62" w:rsidRDefault="00677D62" w:rsidP="00677D62">
            <w:pPr>
              <w:spacing w:after="0" w:line="240" w:lineRule="auto"/>
              <w:jc w:val="center"/>
              <w:rPr>
                <w:rFonts w:cs="Arial"/>
                <w:szCs w:val="20"/>
                <w:lang w:val="en-GB"/>
              </w:rPr>
            </w:pPr>
            <w:r w:rsidRPr="00677D62">
              <w:rPr>
                <w:rFonts w:cs="Arial"/>
                <w:szCs w:val="20"/>
                <w:lang w:val="en-GB"/>
              </w:rPr>
              <w:t>Normal – Above normal</w:t>
            </w:r>
          </w:p>
        </w:tc>
        <w:tc>
          <w:tcPr>
            <w:tcW w:w="1696" w:type="dxa"/>
            <w:shd w:val="clear" w:color="auto" w:fill="auto"/>
            <w:tcMar>
              <w:left w:w="108" w:type="dxa"/>
            </w:tcMar>
            <w:vAlign w:val="center"/>
          </w:tcPr>
          <w:p w14:paraId="619934C4" w14:textId="28B6B577" w:rsidR="00677D62" w:rsidRPr="00677D62" w:rsidRDefault="00677D62" w:rsidP="00677D62">
            <w:pPr>
              <w:spacing w:after="0" w:line="240" w:lineRule="auto"/>
              <w:jc w:val="right"/>
            </w:pPr>
            <w:r w:rsidRPr="00677D62">
              <w:t>2.8</w:t>
            </w:r>
          </w:p>
        </w:tc>
        <w:tc>
          <w:tcPr>
            <w:tcW w:w="2010" w:type="dxa"/>
            <w:shd w:val="clear" w:color="auto" w:fill="auto"/>
            <w:tcMar>
              <w:left w:w="108" w:type="dxa"/>
            </w:tcMar>
            <w:vAlign w:val="center"/>
          </w:tcPr>
          <w:p w14:paraId="4D8A3EAF" w14:textId="45FA2297" w:rsidR="00677D62" w:rsidRPr="00677D62" w:rsidRDefault="00677D62" w:rsidP="00677D62">
            <w:pPr>
              <w:spacing w:after="0" w:line="240" w:lineRule="auto"/>
              <w:jc w:val="right"/>
              <w:rPr>
                <w:rFonts w:cs="Arial"/>
                <w:szCs w:val="20"/>
                <w:lang w:val="en-GB"/>
              </w:rPr>
            </w:pPr>
            <w:r w:rsidRPr="00677D62">
              <w:rPr>
                <w:rFonts w:cs="Arial"/>
                <w:szCs w:val="20"/>
                <w:lang w:val="en-GB"/>
              </w:rPr>
              <w:t>243</w:t>
            </w:r>
          </w:p>
        </w:tc>
      </w:tr>
    </w:tbl>
    <w:p w14:paraId="6FA160A5" w14:textId="77777777" w:rsidR="00F47EB2" w:rsidRDefault="00F47EB2">
      <w:pPr>
        <w:rPr>
          <w:rFonts w:cs="Arial"/>
          <w:lang w:val="en-GB"/>
        </w:rPr>
      </w:pPr>
    </w:p>
    <w:p w14:paraId="1D057FB2" w14:textId="77777777" w:rsidR="00F47EB2" w:rsidRPr="009E3188" w:rsidRDefault="00DA6D85">
      <w:pPr>
        <w:rPr>
          <w:rFonts w:cs="Arial"/>
          <w:b/>
          <w:color w:val="4472C4" w:themeColor="accent1"/>
          <w:sz w:val="22"/>
          <w:lang w:val="en-GB"/>
        </w:rPr>
      </w:pPr>
      <w:r w:rsidRPr="009E3188">
        <w:rPr>
          <w:rFonts w:cs="Arial"/>
          <w:b/>
          <w:color w:val="4472C4" w:themeColor="accent1"/>
          <w:sz w:val="22"/>
          <w:lang w:val="en-GB"/>
        </w:rPr>
        <w:t>Forecast uncertainty</w:t>
      </w:r>
    </w:p>
    <w:p w14:paraId="77009CE9" w14:textId="2DADA926" w:rsidR="00F47EB2" w:rsidRDefault="00DA6D85">
      <w:pPr>
        <w:rPr>
          <w:rFonts w:cs="Arial"/>
          <w:lang w:val="en-GB"/>
        </w:rPr>
      </w:pPr>
      <w:r>
        <w:rPr>
          <w:rFonts w:cs="Arial"/>
          <w:lang w:val="en-GB"/>
        </w:rPr>
        <w:t xml:space="preserve">A seasonal forecast has no value without an indication of how much the predictions can be trusted. </w:t>
      </w:r>
      <w:r w:rsidR="00880869">
        <w:rPr>
          <w:rFonts w:cs="Arial"/>
          <w:lang w:val="en-GB"/>
        </w:rPr>
        <w:t xml:space="preserve">We consider </w:t>
      </w:r>
      <w:r>
        <w:rPr>
          <w:rFonts w:cs="Arial"/>
          <w:lang w:val="en-GB"/>
        </w:rPr>
        <w:t xml:space="preserve">two main sources of </w:t>
      </w:r>
      <w:r w:rsidR="00880869">
        <w:rPr>
          <w:rFonts w:cs="Arial"/>
          <w:lang w:val="en-GB"/>
        </w:rPr>
        <w:t>measures of forecast quality</w:t>
      </w:r>
      <w:r>
        <w:rPr>
          <w:rFonts w:cs="Arial"/>
          <w:lang w:val="en-GB"/>
        </w:rPr>
        <w:t>.</w:t>
      </w:r>
    </w:p>
    <w:p w14:paraId="608762AD" w14:textId="5B71E506" w:rsidR="00F47EB2" w:rsidRPr="00283901" w:rsidRDefault="00880869" w:rsidP="00283901">
      <w:pPr>
        <w:pStyle w:val="ListParagraph"/>
        <w:numPr>
          <w:ilvl w:val="0"/>
          <w:numId w:val="3"/>
        </w:numPr>
        <w:spacing w:after="120"/>
        <w:ind w:left="357" w:hanging="357"/>
        <w:contextualSpacing w:val="0"/>
      </w:pPr>
      <w:r>
        <w:rPr>
          <w:rFonts w:eastAsia="Geneva" w:cs="Arial"/>
          <w:b/>
          <w:color w:val="4472C4" w:themeColor="accent1"/>
        </w:rPr>
        <w:t>Prediction spread</w:t>
      </w:r>
      <w:r w:rsidR="004E5004">
        <w:rPr>
          <w:rFonts w:eastAsia="Geneva" w:cs="Arial"/>
          <w:b/>
          <w:color w:val="4472C4" w:themeColor="accent1"/>
        </w:rPr>
        <w:t xml:space="preserve"> across terciles</w:t>
      </w:r>
      <w:r w:rsidR="00283901">
        <w:rPr>
          <w:rFonts w:eastAsia="Geneva" w:cs="Arial"/>
          <w:b/>
          <w:color w:val="4472C4" w:themeColor="accent1"/>
        </w:rPr>
        <w:t>/</w:t>
      </w:r>
      <w:r w:rsidR="004E5004">
        <w:rPr>
          <w:rFonts w:eastAsia="Geneva" w:cs="Arial"/>
          <w:b/>
          <w:color w:val="4472C4" w:themeColor="accent1"/>
        </w:rPr>
        <w:t>tercile probability</w:t>
      </w:r>
      <w:r w:rsidR="00DA6D85">
        <w:rPr>
          <w:rFonts w:cs="Arial"/>
        </w:rPr>
        <w:t xml:space="preserve">: </w:t>
      </w:r>
      <w:r w:rsidR="00DA6D85">
        <w:rPr>
          <w:rFonts w:eastAsiaTheme="minorHAnsi" w:cs="Arial"/>
        </w:rPr>
        <w:t xml:space="preserve">Seasonal </w:t>
      </w:r>
      <w:r w:rsidR="00283901">
        <w:rPr>
          <w:rFonts w:eastAsiaTheme="minorHAnsi" w:cs="Arial"/>
        </w:rPr>
        <w:t>climate</w:t>
      </w:r>
      <w:r w:rsidR="00DA6D85">
        <w:rPr>
          <w:rFonts w:eastAsiaTheme="minorHAnsi" w:cs="Arial"/>
        </w:rPr>
        <w:t xml:space="preserve"> forecasts are </w:t>
      </w:r>
      <w:r w:rsidR="00DA6D85">
        <w:rPr>
          <w:rFonts w:eastAsiaTheme="minorHAnsi" w:cs="Arial"/>
          <w:i/>
        </w:rPr>
        <w:t xml:space="preserve">probabilistic. </w:t>
      </w:r>
      <w:r w:rsidR="00DA6D85">
        <w:rPr>
          <w:rFonts w:cs="Arial"/>
        </w:rPr>
        <w:t xml:space="preserve">A model is run from </w:t>
      </w:r>
      <w:r w:rsidR="008C5282">
        <w:rPr>
          <w:rFonts w:cs="Arial"/>
        </w:rPr>
        <w:t>a range of plausible i</w:t>
      </w:r>
      <w:r w:rsidR="00DA6D85">
        <w:rPr>
          <w:rFonts w:cs="Arial"/>
        </w:rPr>
        <w:t>nitial conditions</w:t>
      </w:r>
      <w:r w:rsidR="008C5282">
        <w:rPr>
          <w:rFonts w:cs="Arial"/>
        </w:rPr>
        <w:t>, resulting in a set (</w:t>
      </w:r>
      <w:r w:rsidR="00DA6D85" w:rsidRPr="008C5282">
        <w:rPr>
          <w:rFonts w:cs="Arial"/>
          <w:i/>
        </w:rPr>
        <w:t>ensemble</w:t>
      </w:r>
      <w:r w:rsidR="008C5282">
        <w:rPr>
          <w:rFonts w:cs="Arial"/>
        </w:rPr>
        <w:t>)</w:t>
      </w:r>
      <w:r w:rsidR="00DA6D85">
        <w:rPr>
          <w:rFonts w:cs="Arial"/>
        </w:rPr>
        <w:t xml:space="preserve"> of </w:t>
      </w:r>
      <w:r w:rsidR="008C5282">
        <w:rPr>
          <w:rFonts w:cs="Arial"/>
        </w:rPr>
        <w:t xml:space="preserve">predictions </w:t>
      </w:r>
      <w:r w:rsidR="00DA6D85">
        <w:rPr>
          <w:rFonts w:cs="Arial"/>
        </w:rPr>
        <w:t>(ensemble</w:t>
      </w:r>
      <w:r w:rsidR="008C5282">
        <w:rPr>
          <w:rFonts w:cs="Arial"/>
        </w:rPr>
        <w:t xml:space="preserve"> </w:t>
      </w:r>
      <w:r w:rsidR="00DA6D85">
        <w:rPr>
          <w:rFonts w:eastAsiaTheme="minorHAnsi" w:cs="Arial"/>
          <w:i/>
        </w:rPr>
        <w:t>members</w:t>
      </w:r>
      <w:r w:rsidR="00DA6D85">
        <w:rPr>
          <w:rFonts w:eastAsiaTheme="minorHAnsi" w:cs="Arial"/>
        </w:rPr>
        <w:t>). These represent uncertainty in the model</w:t>
      </w:r>
      <w:r w:rsidR="00283901">
        <w:rPr>
          <w:rFonts w:eastAsiaTheme="minorHAnsi" w:cs="Arial"/>
        </w:rPr>
        <w:t xml:space="preserve">, </w:t>
      </w:r>
      <w:r w:rsidR="00DA6D85">
        <w:rPr>
          <w:rFonts w:eastAsiaTheme="minorHAnsi" w:cs="Arial"/>
        </w:rPr>
        <w:t>are all equally likely</w:t>
      </w:r>
      <w:r w:rsidR="00283901">
        <w:rPr>
          <w:rFonts w:cs="Arial"/>
        </w:rPr>
        <w:t xml:space="preserve">, and </w:t>
      </w:r>
      <w:r w:rsidR="00DA6D85">
        <w:rPr>
          <w:rFonts w:eastAsiaTheme="minorHAnsi" w:cs="Arial"/>
        </w:rPr>
        <w:t xml:space="preserve">allow the </w:t>
      </w:r>
      <w:r w:rsidR="004E5004">
        <w:rPr>
          <w:rFonts w:eastAsiaTheme="minorHAnsi" w:cs="Arial"/>
        </w:rPr>
        <w:t xml:space="preserve">probability </w:t>
      </w:r>
      <w:r w:rsidR="00DA6D85">
        <w:rPr>
          <w:rFonts w:eastAsiaTheme="minorHAnsi" w:cs="Arial"/>
        </w:rPr>
        <w:t xml:space="preserve">of different events </w:t>
      </w:r>
      <w:r w:rsidR="008C5282">
        <w:rPr>
          <w:rFonts w:eastAsiaTheme="minorHAnsi" w:cs="Arial"/>
        </w:rPr>
        <w:t>to be estimated. For example, t</w:t>
      </w:r>
      <w:r w:rsidR="00DA6D85">
        <w:rPr>
          <w:rFonts w:cs="Arial"/>
        </w:rPr>
        <w:t>he percent</w:t>
      </w:r>
      <w:r w:rsidR="008C5282">
        <w:rPr>
          <w:rFonts w:cs="Arial"/>
        </w:rPr>
        <w:t>age</w:t>
      </w:r>
      <w:r w:rsidR="00DA6D85">
        <w:rPr>
          <w:rFonts w:cs="Arial"/>
        </w:rPr>
        <w:t xml:space="preserve"> of members which fall within a given tercile </w:t>
      </w:r>
      <w:r w:rsidR="008C5282">
        <w:rPr>
          <w:rFonts w:cs="Arial"/>
        </w:rPr>
        <w:t>(below, normal or above the seas</w:t>
      </w:r>
      <w:bookmarkStart w:id="0" w:name="_GoBack"/>
      <w:bookmarkEnd w:id="0"/>
      <w:r w:rsidR="008C5282">
        <w:rPr>
          <w:rFonts w:cs="Arial"/>
        </w:rPr>
        <w:t xml:space="preserve">onal average) </w:t>
      </w:r>
      <w:r w:rsidR="00E7359A">
        <w:rPr>
          <w:rFonts w:cs="Arial"/>
        </w:rPr>
        <w:t xml:space="preserve">is interpreted as </w:t>
      </w:r>
      <w:r w:rsidR="00DA6D85">
        <w:rPr>
          <w:rFonts w:cs="Arial"/>
        </w:rPr>
        <w:t xml:space="preserve">the </w:t>
      </w:r>
      <w:r w:rsidR="00E7359A">
        <w:rPr>
          <w:rFonts w:cs="Arial"/>
          <w:i/>
        </w:rPr>
        <w:t>probability</w:t>
      </w:r>
      <w:r w:rsidR="00E7359A">
        <w:rPr>
          <w:rFonts w:cs="Arial"/>
        </w:rPr>
        <w:t xml:space="preserve"> </w:t>
      </w:r>
      <w:r w:rsidR="00DA6D85">
        <w:rPr>
          <w:rFonts w:cs="Arial"/>
        </w:rPr>
        <w:t>of that tercile.</w:t>
      </w:r>
    </w:p>
    <w:p w14:paraId="6DE4BF71" w14:textId="3C0E7D0C" w:rsidR="00F47EB2" w:rsidRPr="00880869" w:rsidRDefault="004E5004">
      <w:pPr>
        <w:ind w:left="360"/>
        <w:rPr>
          <w:lang w:val="en-GB"/>
        </w:rPr>
      </w:pPr>
      <w:r>
        <w:rPr>
          <w:shd w:val="clear" w:color="auto" w:fill="FFFFFF"/>
          <w:lang w:val="en-GB"/>
        </w:rPr>
        <w:t xml:space="preserve">The probability of a tercile was discretized into </w:t>
      </w:r>
      <w:r w:rsidR="00283901" w:rsidRPr="007D04CB">
        <w:rPr>
          <w:shd w:val="clear" w:color="auto" w:fill="FFFFFF"/>
          <w:lang w:val="en-GB"/>
        </w:rPr>
        <w:t>four categories</w:t>
      </w:r>
      <w:r w:rsidR="00283901">
        <w:rPr>
          <w:shd w:val="clear" w:color="auto" w:fill="FFFFFF"/>
          <w:lang w:val="en-GB"/>
        </w:rPr>
        <w:t xml:space="preserve">, </w:t>
      </w:r>
      <w:r>
        <w:rPr>
          <w:shd w:val="clear" w:color="auto" w:fill="FFFFFF"/>
          <w:lang w:val="en-GB"/>
        </w:rPr>
        <w:t xml:space="preserve">ranging from very low to high, </w:t>
      </w:r>
      <w:r w:rsidR="00283901" w:rsidRPr="007D04CB">
        <w:rPr>
          <w:shd w:val="clear" w:color="auto" w:fill="FFFFFF"/>
          <w:lang w:val="en-GB"/>
        </w:rPr>
        <w:t>as follows</w:t>
      </w:r>
      <w:r w:rsidR="00283901">
        <w:rPr>
          <w:rFonts w:cs="Arial"/>
          <w:lang w:val="en-GB"/>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835"/>
      </w:tblGrid>
      <w:tr w:rsidR="00E47B2D" w:rsidRPr="00836310" w14:paraId="4839E8F0" w14:textId="77777777" w:rsidTr="00E47B2D">
        <w:trPr>
          <w:trHeight w:val="510"/>
          <w:jc w:val="center"/>
        </w:trPr>
        <w:tc>
          <w:tcPr>
            <w:tcW w:w="2547" w:type="dxa"/>
            <w:tcBorders>
              <w:top w:val="single" w:sz="4" w:space="0" w:color="auto"/>
              <w:left w:val="single" w:sz="4" w:space="0" w:color="auto"/>
              <w:bottom w:val="single" w:sz="4" w:space="0" w:color="auto"/>
              <w:right w:val="single" w:sz="4" w:space="0" w:color="auto"/>
            </w:tcBorders>
            <w:vAlign w:val="center"/>
          </w:tcPr>
          <w:p w14:paraId="490DC6CD" w14:textId="6F3F50E0" w:rsidR="00E47B2D" w:rsidRPr="009E3188" w:rsidRDefault="00E47B2D" w:rsidP="00E47B2D">
            <w:pPr>
              <w:spacing w:after="0" w:line="240" w:lineRule="auto"/>
              <w:jc w:val="center"/>
              <w:rPr>
                <w:b/>
                <w:lang w:val="en-GB"/>
              </w:rPr>
            </w:pPr>
            <w:r w:rsidRPr="009E3188">
              <w:rPr>
                <w:b/>
                <w:lang w:val="en-GB"/>
              </w:rPr>
              <w:t xml:space="preserve">Qualitative </w:t>
            </w:r>
            <w:r w:rsidR="00634449">
              <w:rPr>
                <w:b/>
                <w:lang w:val="en-GB"/>
              </w:rPr>
              <w:t>probability</w:t>
            </w:r>
            <w:r w:rsidR="004E5004">
              <w:rPr>
                <w:b/>
                <w:lang w:val="en-GB"/>
              </w:rPr>
              <w:t xml:space="preserve"> of the tercile</w:t>
            </w:r>
          </w:p>
        </w:tc>
        <w:tc>
          <w:tcPr>
            <w:tcW w:w="2835" w:type="dxa"/>
            <w:tcBorders>
              <w:top w:val="single" w:sz="4" w:space="0" w:color="auto"/>
              <w:left w:val="single" w:sz="4" w:space="0" w:color="auto"/>
              <w:bottom w:val="single" w:sz="4" w:space="0" w:color="auto"/>
              <w:right w:val="single" w:sz="4" w:space="0" w:color="auto"/>
            </w:tcBorders>
            <w:shd w:val="clear" w:color="auto" w:fill="auto"/>
            <w:tcMar>
              <w:left w:w="108" w:type="dxa"/>
            </w:tcMar>
            <w:vAlign w:val="center"/>
          </w:tcPr>
          <w:p w14:paraId="0A430595" w14:textId="0C30D952" w:rsidR="00E47B2D" w:rsidRPr="009E3188" w:rsidRDefault="00E47B2D" w:rsidP="00E47B2D">
            <w:pPr>
              <w:spacing w:after="0" w:line="240" w:lineRule="auto"/>
              <w:jc w:val="center"/>
              <w:rPr>
                <w:b/>
                <w:lang w:val="en-GB"/>
              </w:rPr>
            </w:pPr>
            <w:r w:rsidRPr="009E3188">
              <w:rPr>
                <w:b/>
                <w:lang w:val="en-GB"/>
              </w:rPr>
              <w:t>% of members which predict the tercile</w:t>
            </w:r>
          </w:p>
        </w:tc>
      </w:tr>
      <w:tr w:rsidR="00E47B2D" w14:paraId="4AC539BD" w14:textId="77777777" w:rsidTr="00E47B2D">
        <w:trPr>
          <w:jc w:val="center"/>
        </w:trPr>
        <w:tc>
          <w:tcPr>
            <w:tcW w:w="0" w:type="auto"/>
            <w:tcBorders>
              <w:top w:val="single" w:sz="4" w:space="0" w:color="auto"/>
              <w:left w:val="single" w:sz="4" w:space="0" w:color="auto"/>
              <w:right w:val="single" w:sz="4" w:space="0" w:color="auto"/>
            </w:tcBorders>
            <w:shd w:val="clear" w:color="auto" w:fill="F7CAAC" w:themeFill="accent2" w:themeFillTint="66"/>
          </w:tcPr>
          <w:p w14:paraId="32918EFE" w14:textId="1A124C30" w:rsidR="00E47B2D" w:rsidRDefault="00E47B2D" w:rsidP="00E47B2D">
            <w:pPr>
              <w:spacing w:after="0" w:line="240" w:lineRule="auto"/>
              <w:jc w:val="center"/>
              <w:rPr>
                <w:lang w:val="en-GB"/>
              </w:rPr>
            </w:pPr>
            <w:r>
              <w:rPr>
                <w:lang w:val="en-GB"/>
              </w:rPr>
              <w:t>Very low</w:t>
            </w:r>
          </w:p>
        </w:tc>
        <w:tc>
          <w:tcPr>
            <w:tcW w:w="2835" w:type="dxa"/>
            <w:tcBorders>
              <w:top w:val="single" w:sz="4" w:space="0" w:color="auto"/>
              <w:left w:val="single" w:sz="4" w:space="0" w:color="auto"/>
              <w:right w:val="single" w:sz="4" w:space="0" w:color="auto"/>
            </w:tcBorders>
            <w:shd w:val="clear" w:color="auto" w:fill="F7CAAC" w:themeFill="accent2" w:themeFillTint="66"/>
            <w:tcMar>
              <w:left w:w="108" w:type="dxa"/>
            </w:tcMar>
            <w:vAlign w:val="center"/>
          </w:tcPr>
          <w:p w14:paraId="70AA27C9" w14:textId="52663899" w:rsidR="00E47B2D" w:rsidRDefault="00E47B2D" w:rsidP="00E47B2D">
            <w:pPr>
              <w:spacing w:after="0" w:line="240" w:lineRule="auto"/>
              <w:jc w:val="center"/>
              <w:rPr>
                <w:lang w:val="en-GB"/>
              </w:rPr>
            </w:pPr>
            <w:r>
              <w:rPr>
                <w:lang w:val="en-GB"/>
              </w:rPr>
              <w:t>Less than 35%</w:t>
            </w:r>
          </w:p>
        </w:tc>
      </w:tr>
      <w:tr w:rsidR="00E47B2D" w14:paraId="6B8EC88D" w14:textId="77777777" w:rsidTr="00E47B2D">
        <w:trPr>
          <w:jc w:val="center"/>
        </w:trPr>
        <w:tc>
          <w:tcPr>
            <w:tcW w:w="0" w:type="auto"/>
            <w:tcBorders>
              <w:left w:val="single" w:sz="4" w:space="0" w:color="auto"/>
              <w:right w:val="single" w:sz="4" w:space="0" w:color="auto"/>
            </w:tcBorders>
            <w:shd w:val="clear" w:color="auto" w:fill="FFFF00"/>
          </w:tcPr>
          <w:p w14:paraId="28959CC2" w14:textId="4B019F1C" w:rsidR="00E47B2D" w:rsidRDefault="00E47B2D" w:rsidP="00E47B2D">
            <w:pPr>
              <w:spacing w:after="0" w:line="240" w:lineRule="auto"/>
              <w:jc w:val="center"/>
              <w:rPr>
                <w:lang w:val="en-GB"/>
              </w:rPr>
            </w:pPr>
            <w:r>
              <w:rPr>
                <w:lang w:val="en-GB"/>
              </w:rPr>
              <w:t>Low</w:t>
            </w:r>
          </w:p>
        </w:tc>
        <w:tc>
          <w:tcPr>
            <w:tcW w:w="2835" w:type="dxa"/>
            <w:tcBorders>
              <w:left w:val="single" w:sz="4" w:space="0" w:color="auto"/>
              <w:right w:val="single" w:sz="4" w:space="0" w:color="auto"/>
            </w:tcBorders>
            <w:shd w:val="clear" w:color="auto" w:fill="FFFF00"/>
            <w:tcMar>
              <w:left w:w="108" w:type="dxa"/>
            </w:tcMar>
            <w:vAlign w:val="center"/>
          </w:tcPr>
          <w:p w14:paraId="0B44DAE9" w14:textId="41103134" w:rsidR="00E47B2D" w:rsidRDefault="00E47B2D" w:rsidP="00E47B2D">
            <w:pPr>
              <w:spacing w:after="0" w:line="240" w:lineRule="auto"/>
              <w:jc w:val="center"/>
              <w:rPr>
                <w:lang w:val="en-GB"/>
              </w:rPr>
            </w:pPr>
            <w:r>
              <w:rPr>
                <w:lang w:val="en-GB"/>
              </w:rPr>
              <w:t>35% - 50%</w:t>
            </w:r>
          </w:p>
        </w:tc>
      </w:tr>
      <w:tr w:rsidR="00E47B2D" w14:paraId="18F61156" w14:textId="77777777" w:rsidTr="00E47B2D">
        <w:trPr>
          <w:jc w:val="center"/>
        </w:trPr>
        <w:tc>
          <w:tcPr>
            <w:tcW w:w="0" w:type="auto"/>
            <w:tcBorders>
              <w:left w:val="single" w:sz="4" w:space="0" w:color="auto"/>
              <w:right w:val="single" w:sz="4" w:space="0" w:color="auto"/>
            </w:tcBorders>
            <w:shd w:val="clear" w:color="auto" w:fill="92D050"/>
          </w:tcPr>
          <w:p w14:paraId="66F0F941" w14:textId="1841CE90" w:rsidR="00E47B2D" w:rsidRDefault="00E47B2D" w:rsidP="00E47B2D">
            <w:pPr>
              <w:spacing w:after="0" w:line="240" w:lineRule="auto"/>
              <w:jc w:val="center"/>
              <w:rPr>
                <w:lang w:val="en-GB"/>
              </w:rPr>
            </w:pPr>
            <w:r>
              <w:rPr>
                <w:lang w:val="en-GB"/>
              </w:rPr>
              <w:t>Medium</w:t>
            </w:r>
          </w:p>
        </w:tc>
        <w:tc>
          <w:tcPr>
            <w:tcW w:w="2835" w:type="dxa"/>
            <w:tcBorders>
              <w:left w:val="single" w:sz="4" w:space="0" w:color="auto"/>
              <w:right w:val="single" w:sz="4" w:space="0" w:color="auto"/>
            </w:tcBorders>
            <w:shd w:val="clear" w:color="auto" w:fill="92D050"/>
            <w:tcMar>
              <w:left w:w="108" w:type="dxa"/>
            </w:tcMar>
            <w:vAlign w:val="center"/>
          </w:tcPr>
          <w:p w14:paraId="5FB0B3FE" w14:textId="26C9A91C" w:rsidR="00E47B2D" w:rsidRDefault="00E47B2D" w:rsidP="00E47B2D">
            <w:pPr>
              <w:spacing w:after="0" w:line="240" w:lineRule="auto"/>
              <w:jc w:val="center"/>
              <w:rPr>
                <w:lang w:val="en-GB"/>
              </w:rPr>
            </w:pPr>
            <w:r>
              <w:rPr>
                <w:lang w:val="en-GB"/>
              </w:rPr>
              <w:t>50% - 65%</w:t>
            </w:r>
          </w:p>
        </w:tc>
      </w:tr>
      <w:tr w:rsidR="00E47B2D" w14:paraId="31DA22A1" w14:textId="77777777" w:rsidTr="00E47B2D">
        <w:trPr>
          <w:jc w:val="center"/>
        </w:trPr>
        <w:tc>
          <w:tcPr>
            <w:tcW w:w="0" w:type="auto"/>
            <w:tcBorders>
              <w:left w:val="single" w:sz="4" w:space="0" w:color="auto"/>
              <w:bottom w:val="single" w:sz="4" w:space="0" w:color="auto"/>
              <w:right w:val="single" w:sz="4" w:space="0" w:color="auto"/>
            </w:tcBorders>
            <w:shd w:val="clear" w:color="auto" w:fill="B4C6E7" w:themeFill="accent1" w:themeFillTint="66"/>
          </w:tcPr>
          <w:p w14:paraId="4F440A1F" w14:textId="2F9E388A" w:rsidR="00E47B2D" w:rsidRDefault="00E47B2D" w:rsidP="00E47B2D">
            <w:pPr>
              <w:spacing w:after="0" w:line="240" w:lineRule="auto"/>
              <w:jc w:val="center"/>
              <w:rPr>
                <w:lang w:val="en-GB"/>
              </w:rPr>
            </w:pPr>
            <w:r>
              <w:rPr>
                <w:lang w:val="en-GB"/>
              </w:rPr>
              <w:t>High</w:t>
            </w:r>
          </w:p>
        </w:tc>
        <w:tc>
          <w:tcPr>
            <w:tcW w:w="2835" w:type="dxa"/>
            <w:tcBorders>
              <w:left w:val="single" w:sz="4" w:space="0" w:color="auto"/>
              <w:bottom w:val="single" w:sz="4" w:space="0" w:color="auto"/>
              <w:right w:val="single" w:sz="4" w:space="0" w:color="auto"/>
            </w:tcBorders>
            <w:shd w:val="clear" w:color="auto" w:fill="B4C6E7" w:themeFill="accent1" w:themeFillTint="66"/>
            <w:tcMar>
              <w:left w:w="108" w:type="dxa"/>
            </w:tcMar>
            <w:vAlign w:val="center"/>
          </w:tcPr>
          <w:p w14:paraId="3303BF99" w14:textId="03585F18" w:rsidR="00E47B2D" w:rsidRDefault="00E47B2D" w:rsidP="00E47B2D">
            <w:pPr>
              <w:spacing w:after="0" w:line="240" w:lineRule="auto"/>
              <w:jc w:val="center"/>
              <w:rPr>
                <w:lang w:val="en-GB"/>
              </w:rPr>
            </w:pPr>
            <w:r>
              <w:rPr>
                <w:lang w:val="en-GB"/>
              </w:rPr>
              <w:t>65% or more</w:t>
            </w:r>
          </w:p>
        </w:tc>
      </w:tr>
    </w:tbl>
    <w:p w14:paraId="55EFE475" w14:textId="0ECB76FA" w:rsidR="00E47B2D" w:rsidRDefault="00E47B2D" w:rsidP="00E47B2D">
      <w:pPr>
        <w:rPr>
          <w:rFonts w:cs="Arial"/>
          <w:color w:val="4472C4" w:themeColor="accent1"/>
          <w:szCs w:val="20"/>
          <w:lang w:val="en-GB"/>
        </w:rPr>
      </w:pPr>
    </w:p>
    <w:p w14:paraId="38E2FAFD" w14:textId="5BFD2232" w:rsidR="00880869" w:rsidRPr="008C5282" w:rsidRDefault="00880869" w:rsidP="009E3188">
      <w:pPr>
        <w:spacing w:line="240" w:lineRule="auto"/>
        <w:ind w:left="360"/>
        <w:rPr>
          <w:lang w:val="en-GB"/>
        </w:rPr>
      </w:pPr>
      <w:r>
        <w:rPr>
          <w:rFonts w:cs="Arial"/>
          <w:color w:val="4472C4" w:themeColor="accent1"/>
          <w:szCs w:val="20"/>
          <w:lang w:val="en-GB"/>
        </w:rPr>
        <w:t>Example 1</w:t>
      </w:r>
      <w:r>
        <w:rPr>
          <w:rFonts w:cs="Arial"/>
          <w:szCs w:val="20"/>
          <w:lang w:val="en-GB"/>
        </w:rPr>
        <w:t xml:space="preserve">: 95% of forecast members for next summer suggest it’s going to be warmer than average. Conclude: there is high </w:t>
      </w:r>
      <w:r w:rsidR="00E7359A">
        <w:rPr>
          <w:rFonts w:cs="Arial"/>
          <w:szCs w:val="20"/>
          <w:lang w:val="en-GB"/>
        </w:rPr>
        <w:t xml:space="preserve">probability </w:t>
      </w:r>
      <w:r>
        <w:rPr>
          <w:rFonts w:cs="Arial"/>
          <w:szCs w:val="20"/>
          <w:lang w:val="en-GB"/>
        </w:rPr>
        <w:t>of it being warmer than average.</w:t>
      </w:r>
    </w:p>
    <w:p w14:paraId="005A2A97" w14:textId="7F37C2D9" w:rsidR="00F47EB2" w:rsidRDefault="00880869" w:rsidP="00283901">
      <w:pPr>
        <w:spacing w:line="240" w:lineRule="auto"/>
        <w:ind w:left="357"/>
        <w:rPr>
          <w:rFonts w:cs="Arial"/>
          <w:szCs w:val="20"/>
          <w:lang w:val="en-GB"/>
        </w:rPr>
      </w:pPr>
      <w:r>
        <w:rPr>
          <w:rFonts w:cs="Arial"/>
          <w:color w:val="4472C4" w:themeColor="accent1"/>
          <w:szCs w:val="20"/>
          <w:lang w:val="en-GB"/>
        </w:rPr>
        <w:t>Example 2</w:t>
      </w:r>
      <w:r>
        <w:rPr>
          <w:rFonts w:cs="Arial"/>
          <w:szCs w:val="20"/>
          <w:lang w:val="en-GB"/>
        </w:rPr>
        <w:t xml:space="preserve">: 10% of forecast members suggest it’s going to be cooler than average, 40% that it will be normal, and 50% that it will be warmer than average. Conclude: there is medium </w:t>
      </w:r>
      <w:r w:rsidR="004E5004">
        <w:rPr>
          <w:rFonts w:cs="Arial"/>
          <w:szCs w:val="20"/>
          <w:lang w:val="en-GB"/>
        </w:rPr>
        <w:t>probability</w:t>
      </w:r>
      <w:r>
        <w:rPr>
          <w:rFonts w:cs="Arial"/>
          <w:szCs w:val="20"/>
          <w:lang w:val="en-GB"/>
        </w:rPr>
        <w:t xml:space="preserve"> of it being warmer than average. We can also say there is high </w:t>
      </w:r>
      <w:r w:rsidR="004E5004">
        <w:rPr>
          <w:rFonts w:cs="Arial"/>
          <w:szCs w:val="20"/>
          <w:lang w:val="en-GB"/>
        </w:rPr>
        <w:t>probability</w:t>
      </w:r>
      <w:r>
        <w:rPr>
          <w:rFonts w:cs="Arial"/>
          <w:szCs w:val="20"/>
          <w:lang w:val="en-GB"/>
        </w:rPr>
        <w:t xml:space="preserve"> of it </w:t>
      </w:r>
      <w:r w:rsidRPr="00880869">
        <w:rPr>
          <w:rFonts w:cs="Arial"/>
          <w:i/>
          <w:szCs w:val="20"/>
          <w:lang w:val="en-GB"/>
        </w:rPr>
        <w:t>not</w:t>
      </w:r>
      <w:r>
        <w:rPr>
          <w:rFonts w:cs="Arial"/>
          <w:szCs w:val="20"/>
          <w:lang w:val="en-GB"/>
        </w:rPr>
        <w:t xml:space="preserve"> being cooler than average.</w:t>
      </w:r>
    </w:p>
    <w:p w14:paraId="25F6F7A7" w14:textId="7AD3A1EC" w:rsidR="00F47EB2" w:rsidRPr="00283901" w:rsidRDefault="00DA6D85" w:rsidP="00283901">
      <w:pPr>
        <w:pStyle w:val="ListParagraph"/>
        <w:numPr>
          <w:ilvl w:val="0"/>
          <w:numId w:val="3"/>
        </w:numPr>
        <w:spacing w:after="120"/>
        <w:ind w:left="357" w:hanging="357"/>
        <w:contextualSpacing w:val="0"/>
      </w:pPr>
      <w:r w:rsidRPr="00283901">
        <w:rPr>
          <w:rFonts w:eastAsia="Geneva" w:cs="Arial"/>
          <w:b/>
          <w:color w:val="4472C4" w:themeColor="accent1"/>
        </w:rPr>
        <w:t xml:space="preserve">Historic </w:t>
      </w:r>
      <w:r w:rsidRPr="00283901">
        <w:rPr>
          <w:rFonts w:cs="Arial"/>
          <w:b/>
          <w:color w:val="4472C4" w:themeColor="accent1"/>
        </w:rPr>
        <w:t>performance</w:t>
      </w:r>
      <w:r w:rsidRPr="00283901">
        <w:rPr>
          <w:rFonts w:cs="Arial"/>
        </w:rPr>
        <w:t xml:space="preserve">: How well historic forecasts matched observations. A </w:t>
      </w:r>
      <w:r w:rsidR="00252043" w:rsidRPr="00283901">
        <w:rPr>
          <w:rFonts w:cs="Arial"/>
        </w:rPr>
        <w:t>strong</w:t>
      </w:r>
      <w:r w:rsidRPr="00283901">
        <w:rPr>
          <w:rFonts w:cs="Arial"/>
        </w:rPr>
        <w:t xml:space="preserve"> signal in a forecast (i.e. low spread between members) is </w:t>
      </w:r>
      <w:r w:rsidRPr="00283901">
        <w:rPr>
          <w:rFonts w:cs="Arial"/>
          <w:bCs/>
        </w:rPr>
        <w:t xml:space="preserve">useless or even dangerously misleading </w:t>
      </w:r>
      <w:r w:rsidRPr="00283901">
        <w:rPr>
          <w:rFonts w:cs="Arial"/>
        </w:rPr>
        <w:t>if the forecast system has no track record of successfully predicting such events in the past.</w:t>
      </w:r>
      <w:r w:rsidR="00283901">
        <w:rPr>
          <w:rFonts w:cs="Arial"/>
        </w:rPr>
        <w:t xml:space="preserve"> </w:t>
      </w:r>
      <w:r w:rsidRPr="00283901">
        <w:t>Here, historic performance was assessed using:</w:t>
      </w:r>
    </w:p>
    <w:p w14:paraId="7F29ECA7" w14:textId="642D9DDC" w:rsidR="00F47EB2" w:rsidRDefault="00DA6D85" w:rsidP="00283901">
      <w:pPr>
        <w:pStyle w:val="ListParagraph"/>
        <w:numPr>
          <w:ilvl w:val="0"/>
          <w:numId w:val="2"/>
        </w:numPr>
        <w:spacing w:after="120"/>
        <w:contextualSpacing w:val="0"/>
      </w:pPr>
      <w:r>
        <w:t xml:space="preserve">The </w:t>
      </w:r>
      <w:r w:rsidRPr="00283901">
        <w:rPr>
          <w:b/>
          <w:color w:val="4472C4" w:themeColor="accent1"/>
        </w:rPr>
        <w:t>ROCSS</w:t>
      </w:r>
      <w:r w:rsidRPr="00283901">
        <w:rPr>
          <w:color w:val="4472C4" w:themeColor="accent1"/>
        </w:rPr>
        <w:t xml:space="preserve"> </w:t>
      </w:r>
      <w:r>
        <w:t>(Relative Operating Characteristic skill score). This is calculated for each weather variable, season and tercile. It measures how well the forecast discriminates between binary events (</w:t>
      </w:r>
      <w:r w:rsidR="00283901">
        <w:t>here</w:t>
      </w:r>
      <w:r>
        <w:t xml:space="preserve">, whether </w:t>
      </w:r>
      <w:r>
        <w:lastRenderedPageBreak/>
        <w:t>the forecast correctly predicts observations occurring within the tercile). ROCSS values range from 1 (a perfect forecast) to -1 (a perfectly bad forecast). Zero indicates no skill compared to a random prediction. We chose to define forecasts as having historic skill when the ROCSS was significantly positive (i.e. the probability of obtaining this ROCSS was less than 5% under the assumption of no forecast skill).</w:t>
      </w:r>
    </w:p>
    <w:p w14:paraId="0668AF2B" w14:textId="0DD1B473" w:rsidR="00F47EB2" w:rsidRDefault="00DA6D85" w:rsidP="00283901">
      <w:pPr>
        <w:pStyle w:val="ListParagraph"/>
        <w:numPr>
          <w:ilvl w:val="0"/>
          <w:numId w:val="2"/>
        </w:numPr>
        <w:spacing w:after="120"/>
        <w:contextualSpacing w:val="0"/>
      </w:pPr>
      <w:r>
        <w:rPr>
          <w:b/>
          <w:color w:val="4472C4" w:themeColor="accent1"/>
        </w:rPr>
        <w:t>Tercile plots</w:t>
      </w:r>
      <w:r>
        <w:t xml:space="preserve">. </w:t>
      </w:r>
      <w:r w:rsidR="00283901">
        <w:t>T</w:t>
      </w:r>
      <w:r>
        <w:t xml:space="preserve">he shading in each square represents the likelihood of each tercile for each year (i.e. the proportion of forecast members which predict that tercile). Darker shades depict higher likelihood. White dots indicate the terciles which were </w:t>
      </w:r>
      <w:proofErr w:type="gramStart"/>
      <w:r>
        <w:t>actually observed</w:t>
      </w:r>
      <w:proofErr w:type="gramEnd"/>
      <w:r>
        <w:t xml:space="preserve"> (using the ERA5 dataset). Where white dots coincide with dark (high likelihood) terciles, this indicates good model </w:t>
      </w:r>
      <w:r w:rsidR="00E47B2D">
        <w:t>predictions for that year</w:t>
      </w:r>
      <w:r>
        <w:t>.</w:t>
      </w:r>
      <w:r w:rsidR="00283901">
        <w:t xml:space="preserve"> ROCSS values are reported next to the plots, and significant values (95% confident interval) are marked with an asterisk.</w:t>
      </w:r>
    </w:p>
    <w:p w14:paraId="7914B8B1" w14:textId="1074864E" w:rsidR="00F47EB2" w:rsidRDefault="00F47EB2" w:rsidP="00283901">
      <w:pPr>
        <w:spacing w:after="0"/>
        <w:rPr>
          <w:rFonts w:cs="Arial"/>
          <w:lang w:val="en-GB"/>
        </w:rPr>
      </w:pPr>
    </w:p>
    <w:p w14:paraId="61512225" w14:textId="4D4DB5BA" w:rsidR="00487937" w:rsidRPr="009E3188" w:rsidRDefault="00487937">
      <w:pPr>
        <w:rPr>
          <w:rFonts w:cs="Arial"/>
          <w:b/>
          <w:color w:val="4472C4" w:themeColor="accent1"/>
          <w:sz w:val="22"/>
          <w:lang w:val="en-GB"/>
        </w:rPr>
      </w:pPr>
      <w:r w:rsidRPr="009E3188">
        <w:rPr>
          <w:rFonts w:cs="Arial"/>
          <w:b/>
          <w:color w:val="4472C4" w:themeColor="accent1"/>
          <w:sz w:val="22"/>
          <w:lang w:val="en-GB"/>
        </w:rPr>
        <w:t>Summarising forecast quality</w:t>
      </w:r>
    </w:p>
    <w:p w14:paraId="2AFE67B9" w14:textId="4A13C2D8" w:rsidR="00F47EB2" w:rsidRPr="00252043" w:rsidRDefault="00DA6D85">
      <w:pPr>
        <w:rPr>
          <w:lang w:val="en-GB"/>
        </w:rPr>
      </w:pPr>
      <w:r>
        <w:rPr>
          <w:lang w:val="en-GB"/>
        </w:rPr>
        <w:t xml:space="preserve">Both </w:t>
      </w:r>
      <w:proofErr w:type="gramStart"/>
      <w:r>
        <w:rPr>
          <w:lang w:val="en-GB"/>
        </w:rPr>
        <w:t>forecast</w:t>
      </w:r>
      <w:proofErr w:type="gramEnd"/>
      <w:r w:rsidR="00252043">
        <w:rPr>
          <w:lang w:val="en-GB"/>
        </w:rPr>
        <w:t xml:space="preserve"> spread </w:t>
      </w:r>
      <w:r w:rsidR="004E5004">
        <w:rPr>
          <w:lang w:val="en-GB"/>
        </w:rPr>
        <w:t xml:space="preserve">across terciles </w:t>
      </w:r>
      <w:r>
        <w:rPr>
          <w:lang w:val="en-GB"/>
        </w:rPr>
        <w:t xml:space="preserve">and historic performance must be taken into account when judging the </w:t>
      </w:r>
      <w:r w:rsidR="00487937">
        <w:rPr>
          <w:lang w:val="en-GB"/>
        </w:rPr>
        <w:t>quality</w:t>
      </w:r>
      <w:r>
        <w:rPr>
          <w:lang w:val="en-GB"/>
        </w:rPr>
        <w:t xml:space="preserve"> </w:t>
      </w:r>
      <w:r w:rsidR="004E5004">
        <w:rPr>
          <w:lang w:val="en-GB"/>
        </w:rPr>
        <w:t xml:space="preserve">and strength </w:t>
      </w:r>
      <w:r>
        <w:rPr>
          <w:lang w:val="en-GB"/>
        </w:rPr>
        <w:t xml:space="preserve">of the forecast and </w:t>
      </w:r>
      <w:r w:rsidR="00487937">
        <w:rPr>
          <w:lang w:val="en-GB"/>
        </w:rPr>
        <w:t xml:space="preserve">deciding </w:t>
      </w:r>
      <w:r>
        <w:rPr>
          <w:lang w:val="en-GB"/>
        </w:rPr>
        <w:t xml:space="preserve">whether action should be taken based on it. </w:t>
      </w:r>
      <w:r w:rsidR="00487937">
        <w:rPr>
          <w:lang w:val="en-GB"/>
        </w:rPr>
        <w:t>W</w:t>
      </w:r>
      <w:r>
        <w:rPr>
          <w:lang w:val="en-GB"/>
        </w:rPr>
        <w:t xml:space="preserve">e combine </w:t>
      </w:r>
      <w:r w:rsidR="00252043">
        <w:rPr>
          <w:lang w:val="en-GB"/>
        </w:rPr>
        <w:t xml:space="preserve">forecast spread </w:t>
      </w:r>
      <w:r>
        <w:rPr>
          <w:lang w:val="en-GB"/>
        </w:rPr>
        <w:t xml:space="preserve">and historic skill to give an overall indication of the confidence that can be placed in </w:t>
      </w:r>
      <w:r w:rsidR="00EA038E">
        <w:rPr>
          <w:lang w:val="en-GB"/>
        </w:rPr>
        <w:t xml:space="preserve">each tercile of </w:t>
      </w:r>
      <w:r>
        <w:rPr>
          <w:lang w:val="en-GB"/>
        </w:rPr>
        <w:t>the forecast</w:t>
      </w:r>
      <w:r w:rsidR="00EA038E">
        <w:rPr>
          <w:lang w:val="en-GB"/>
        </w:rPr>
        <w:t>,</w:t>
      </w:r>
      <w:r>
        <w:rPr>
          <w:lang w:val="en-GB"/>
        </w:rPr>
        <w:t xml:space="preserve"> as follows:</w:t>
      </w:r>
    </w:p>
    <w:p w14:paraId="7CDDDCC6" w14:textId="77777777" w:rsidR="00F47EB2" w:rsidRDefault="00F47EB2" w:rsidP="00283901">
      <w:pPr>
        <w:spacing w:after="0"/>
        <w:rPr>
          <w:b/>
          <w:lang w:val="en-GB"/>
        </w:rPr>
      </w:pPr>
    </w:p>
    <w:tbl>
      <w:tblPr>
        <w:tblStyle w:val="TableGrid"/>
        <w:tblW w:w="9016" w:type="dxa"/>
        <w:jc w:val="center"/>
        <w:tblLook w:val="04A0" w:firstRow="1" w:lastRow="0" w:firstColumn="1" w:lastColumn="0" w:noHBand="0" w:noVBand="1"/>
      </w:tblPr>
      <w:tblGrid>
        <w:gridCol w:w="2990"/>
        <w:gridCol w:w="2250"/>
        <w:gridCol w:w="1843"/>
        <w:gridCol w:w="1933"/>
      </w:tblGrid>
      <w:tr w:rsidR="00EA038E" w:rsidRPr="00836310" w14:paraId="5D6DE172" w14:textId="5526DEDB" w:rsidTr="009E3188">
        <w:trPr>
          <w:trHeight w:val="984"/>
          <w:jc w:val="center"/>
        </w:trPr>
        <w:tc>
          <w:tcPr>
            <w:tcW w:w="2990" w:type="dxa"/>
            <w:shd w:val="clear" w:color="auto" w:fill="auto"/>
            <w:tcMar>
              <w:left w:w="108" w:type="dxa"/>
            </w:tcMar>
            <w:vAlign w:val="center"/>
          </w:tcPr>
          <w:p w14:paraId="666B9D73" w14:textId="31755EDF" w:rsidR="00EA038E" w:rsidRPr="00EA038E" w:rsidRDefault="004E5004" w:rsidP="009E3188">
            <w:pPr>
              <w:spacing w:after="0" w:line="240" w:lineRule="auto"/>
              <w:jc w:val="center"/>
              <w:rPr>
                <w:b/>
                <w:lang w:val="en-GB"/>
              </w:rPr>
            </w:pPr>
            <w:bookmarkStart w:id="1" w:name="_Hlk32915515"/>
            <w:r>
              <w:rPr>
                <w:b/>
                <w:lang w:val="en-GB"/>
              </w:rPr>
              <w:t>Probability</w:t>
            </w:r>
            <w:r w:rsidR="00283901">
              <w:rPr>
                <w:b/>
                <w:lang w:val="en-GB"/>
              </w:rPr>
              <w:t xml:space="preserve"> of the tercile</w:t>
            </w:r>
          </w:p>
        </w:tc>
        <w:tc>
          <w:tcPr>
            <w:tcW w:w="2250" w:type="dxa"/>
            <w:shd w:val="clear" w:color="auto" w:fill="auto"/>
            <w:tcMar>
              <w:left w:w="108" w:type="dxa"/>
            </w:tcMar>
            <w:vAlign w:val="center"/>
          </w:tcPr>
          <w:p w14:paraId="708B378C" w14:textId="01E9B390" w:rsidR="00EA038E" w:rsidRPr="00283901" w:rsidRDefault="00EA038E" w:rsidP="00283901">
            <w:pPr>
              <w:spacing w:after="0" w:line="240" w:lineRule="auto"/>
              <w:jc w:val="center"/>
              <w:rPr>
                <w:b/>
                <w:lang w:val="en-GB"/>
              </w:rPr>
            </w:pPr>
            <w:r>
              <w:rPr>
                <w:b/>
                <w:lang w:val="en-GB"/>
              </w:rPr>
              <w:t>Historic skill</w:t>
            </w:r>
          </w:p>
        </w:tc>
        <w:tc>
          <w:tcPr>
            <w:tcW w:w="1843" w:type="dxa"/>
            <w:shd w:val="clear" w:color="auto" w:fill="auto"/>
            <w:tcMar>
              <w:left w:w="108" w:type="dxa"/>
            </w:tcMar>
            <w:vAlign w:val="center"/>
          </w:tcPr>
          <w:p w14:paraId="2AD58C23" w14:textId="426BD62A" w:rsidR="00EA038E" w:rsidRDefault="00EA038E" w:rsidP="00B14EE1">
            <w:pPr>
              <w:spacing w:after="0" w:line="240" w:lineRule="auto"/>
              <w:jc w:val="center"/>
              <w:rPr>
                <w:b/>
                <w:lang w:val="en-GB"/>
              </w:rPr>
            </w:pPr>
            <w:r>
              <w:rPr>
                <w:b/>
                <w:lang w:val="en-GB"/>
              </w:rPr>
              <w:t>Confidence that tercile will happen</w:t>
            </w:r>
          </w:p>
        </w:tc>
        <w:tc>
          <w:tcPr>
            <w:tcW w:w="1933" w:type="dxa"/>
            <w:vAlign w:val="center"/>
          </w:tcPr>
          <w:p w14:paraId="4F40560B" w14:textId="74EB5A9D" w:rsidR="00EA038E" w:rsidRDefault="00EA038E" w:rsidP="00B14EE1">
            <w:pPr>
              <w:spacing w:after="0" w:line="240" w:lineRule="auto"/>
              <w:jc w:val="center"/>
              <w:rPr>
                <w:b/>
                <w:lang w:val="en-GB"/>
              </w:rPr>
            </w:pPr>
            <w:r>
              <w:rPr>
                <w:b/>
                <w:lang w:val="en-GB"/>
              </w:rPr>
              <w:t>Confidence that tercile won’t happen</w:t>
            </w:r>
          </w:p>
        </w:tc>
      </w:tr>
      <w:tr w:rsidR="009E3188" w14:paraId="61E887B6" w14:textId="7231BFB5" w:rsidTr="009E3188">
        <w:trPr>
          <w:trHeight w:val="340"/>
          <w:jc w:val="center"/>
        </w:trPr>
        <w:tc>
          <w:tcPr>
            <w:tcW w:w="2990" w:type="dxa"/>
            <w:shd w:val="clear" w:color="auto" w:fill="F7CAAC" w:themeFill="accent2" w:themeFillTint="66"/>
            <w:tcMar>
              <w:left w:w="108" w:type="dxa"/>
            </w:tcMar>
            <w:vAlign w:val="center"/>
          </w:tcPr>
          <w:p w14:paraId="3E5DF11D" w14:textId="7BA97768" w:rsidR="009E3188" w:rsidRDefault="009E3188" w:rsidP="009E3188">
            <w:pPr>
              <w:spacing w:after="0" w:line="240" w:lineRule="auto"/>
              <w:jc w:val="center"/>
              <w:rPr>
                <w:lang w:val="en-GB"/>
              </w:rPr>
            </w:pPr>
            <w:r>
              <w:rPr>
                <w:lang w:val="en-GB"/>
              </w:rPr>
              <w:t>Very low (less than 35%)</w:t>
            </w:r>
          </w:p>
        </w:tc>
        <w:tc>
          <w:tcPr>
            <w:tcW w:w="2250" w:type="dxa"/>
            <w:vMerge w:val="restart"/>
            <w:shd w:val="clear" w:color="auto" w:fill="92D050"/>
            <w:tcMar>
              <w:left w:w="108" w:type="dxa"/>
            </w:tcMar>
            <w:vAlign w:val="center"/>
          </w:tcPr>
          <w:p w14:paraId="34F7B6D5" w14:textId="16CF088D" w:rsidR="009E3188" w:rsidRDefault="009E3188" w:rsidP="009E3188">
            <w:pPr>
              <w:spacing w:after="0" w:line="240" w:lineRule="auto"/>
              <w:jc w:val="center"/>
              <w:rPr>
                <w:lang w:val="en-GB"/>
              </w:rPr>
            </w:pPr>
            <w:r>
              <w:rPr>
                <w:lang w:val="en-GB"/>
              </w:rPr>
              <w:t>Some (significant ROCSS)</w:t>
            </w:r>
          </w:p>
        </w:tc>
        <w:tc>
          <w:tcPr>
            <w:tcW w:w="1843" w:type="dxa"/>
            <w:shd w:val="clear" w:color="auto" w:fill="F7CAAC" w:themeFill="accent2" w:themeFillTint="66"/>
            <w:tcMar>
              <w:left w:w="108" w:type="dxa"/>
            </w:tcMar>
            <w:vAlign w:val="center"/>
          </w:tcPr>
          <w:p w14:paraId="1E2DE64B" w14:textId="14BE2E84" w:rsidR="009E3188" w:rsidRDefault="009E3188" w:rsidP="009E3188">
            <w:pPr>
              <w:spacing w:after="0" w:line="240" w:lineRule="auto"/>
              <w:jc w:val="center"/>
              <w:rPr>
                <w:lang w:val="en-GB"/>
              </w:rPr>
            </w:pPr>
            <w:r>
              <w:rPr>
                <w:lang w:val="en-GB"/>
              </w:rPr>
              <w:t>Very low</w:t>
            </w:r>
          </w:p>
        </w:tc>
        <w:tc>
          <w:tcPr>
            <w:tcW w:w="1933" w:type="dxa"/>
            <w:shd w:val="clear" w:color="auto" w:fill="B4C6E7" w:themeFill="accent1" w:themeFillTint="66"/>
            <w:vAlign w:val="center"/>
          </w:tcPr>
          <w:p w14:paraId="7994692D" w14:textId="55332D2F" w:rsidR="009E3188" w:rsidRDefault="009E3188" w:rsidP="009E3188">
            <w:pPr>
              <w:spacing w:after="0" w:line="240" w:lineRule="auto"/>
              <w:jc w:val="center"/>
              <w:rPr>
                <w:lang w:val="en-GB"/>
              </w:rPr>
            </w:pPr>
            <w:r>
              <w:rPr>
                <w:lang w:val="en-GB"/>
              </w:rPr>
              <w:t>High</w:t>
            </w:r>
          </w:p>
        </w:tc>
      </w:tr>
      <w:tr w:rsidR="009E3188" w14:paraId="41252703" w14:textId="4D93EF3D" w:rsidTr="009E3188">
        <w:trPr>
          <w:trHeight w:val="340"/>
          <w:jc w:val="center"/>
        </w:trPr>
        <w:tc>
          <w:tcPr>
            <w:tcW w:w="2990" w:type="dxa"/>
            <w:shd w:val="clear" w:color="auto" w:fill="FFFF00"/>
            <w:tcMar>
              <w:left w:w="108" w:type="dxa"/>
            </w:tcMar>
            <w:vAlign w:val="center"/>
          </w:tcPr>
          <w:p w14:paraId="30AB415C" w14:textId="069325E1" w:rsidR="009E3188" w:rsidRDefault="009E3188" w:rsidP="009E3188">
            <w:pPr>
              <w:spacing w:after="0" w:line="240" w:lineRule="auto"/>
              <w:jc w:val="center"/>
              <w:rPr>
                <w:lang w:val="en-GB"/>
              </w:rPr>
            </w:pPr>
            <w:r>
              <w:rPr>
                <w:lang w:val="en-GB"/>
              </w:rPr>
              <w:t>Low (35% - 50%)</w:t>
            </w:r>
          </w:p>
        </w:tc>
        <w:tc>
          <w:tcPr>
            <w:tcW w:w="2250" w:type="dxa"/>
            <w:vMerge/>
            <w:shd w:val="clear" w:color="auto" w:fill="92D050"/>
            <w:tcMar>
              <w:left w:w="108" w:type="dxa"/>
            </w:tcMar>
            <w:vAlign w:val="center"/>
          </w:tcPr>
          <w:p w14:paraId="34F74402" w14:textId="13290113" w:rsidR="009E3188" w:rsidRDefault="009E3188" w:rsidP="009E3188">
            <w:pPr>
              <w:spacing w:after="0" w:line="240" w:lineRule="auto"/>
              <w:jc w:val="center"/>
              <w:rPr>
                <w:lang w:val="en-GB"/>
              </w:rPr>
            </w:pPr>
          </w:p>
        </w:tc>
        <w:tc>
          <w:tcPr>
            <w:tcW w:w="1843" w:type="dxa"/>
            <w:shd w:val="clear" w:color="auto" w:fill="FFFF00"/>
            <w:tcMar>
              <w:left w:w="108" w:type="dxa"/>
            </w:tcMar>
            <w:vAlign w:val="center"/>
          </w:tcPr>
          <w:p w14:paraId="0CF8D58D" w14:textId="77777777" w:rsidR="009E3188" w:rsidRDefault="009E3188" w:rsidP="009E3188">
            <w:pPr>
              <w:spacing w:after="0" w:line="240" w:lineRule="auto"/>
              <w:jc w:val="center"/>
              <w:rPr>
                <w:lang w:val="en-GB"/>
              </w:rPr>
            </w:pPr>
            <w:r>
              <w:rPr>
                <w:lang w:val="en-GB"/>
              </w:rPr>
              <w:t>Low</w:t>
            </w:r>
          </w:p>
        </w:tc>
        <w:tc>
          <w:tcPr>
            <w:tcW w:w="1933" w:type="dxa"/>
            <w:shd w:val="clear" w:color="auto" w:fill="92D050"/>
            <w:vAlign w:val="center"/>
          </w:tcPr>
          <w:p w14:paraId="3F4DD5CC" w14:textId="1F746A17" w:rsidR="009E3188" w:rsidRDefault="009E3188" w:rsidP="009E3188">
            <w:pPr>
              <w:spacing w:after="0" w:line="240" w:lineRule="auto"/>
              <w:jc w:val="center"/>
              <w:rPr>
                <w:lang w:val="en-GB"/>
              </w:rPr>
            </w:pPr>
            <w:r>
              <w:rPr>
                <w:lang w:val="en-GB"/>
              </w:rPr>
              <w:t>Medium</w:t>
            </w:r>
          </w:p>
        </w:tc>
      </w:tr>
      <w:tr w:rsidR="009E3188" w14:paraId="0D0B4684" w14:textId="280FB666" w:rsidTr="009E3188">
        <w:trPr>
          <w:trHeight w:val="340"/>
          <w:jc w:val="center"/>
        </w:trPr>
        <w:tc>
          <w:tcPr>
            <w:tcW w:w="2990" w:type="dxa"/>
            <w:shd w:val="clear" w:color="auto" w:fill="92D050"/>
            <w:tcMar>
              <w:left w:w="108" w:type="dxa"/>
            </w:tcMar>
            <w:vAlign w:val="center"/>
          </w:tcPr>
          <w:p w14:paraId="49567F0C" w14:textId="2FBB872A" w:rsidR="009E3188" w:rsidRDefault="009E3188" w:rsidP="009E3188">
            <w:pPr>
              <w:spacing w:after="0" w:line="240" w:lineRule="auto"/>
              <w:jc w:val="center"/>
              <w:rPr>
                <w:lang w:val="en-GB"/>
              </w:rPr>
            </w:pPr>
            <w:r>
              <w:rPr>
                <w:lang w:val="en-GB"/>
              </w:rPr>
              <w:t>Medium (50% - 65%)</w:t>
            </w:r>
          </w:p>
        </w:tc>
        <w:tc>
          <w:tcPr>
            <w:tcW w:w="2250" w:type="dxa"/>
            <w:vMerge/>
            <w:shd w:val="clear" w:color="auto" w:fill="92D050"/>
            <w:tcMar>
              <w:left w:w="108" w:type="dxa"/>
            </w:tcMar>
            <w:vAlign w:val="center"/>
          </w:tcPr>
          <w:p w14:paraId="1654CADA" w14:textId="3F647485" w:rsidR="009E3188" w:rsidRDefault="009E3188" w:rsidP="009E3188">
            <w:pPr>
              <w:spacing w:after="0" w:line="240" w:lineRule="auto"/>
              <w:jc w:val="center"/>
              <w:rPr>
                <w:lang w:val="en-GB"/>
              </w:rPr>
            </w:pPr>
          </w:p>
        </w:tc>
        <w:tc>
          <w:tcPr>
            <w:tcW w:w="1843" w:type="dxa"/>
            <w:shd w:val="clear" w:color="auto" w:fill="92D050"/>
            <w:tcMar>
              <w:left w:w="108" w:type="dxa"/>
            </w:tcMar>
            <w:vAlign w:val="center"/>
          </w:tcPr>
          <w:p w14:paraId="4DF6B85A" w14:textId="77777777" w:rsidR="009E3188" w:rsidRDefault="009E3188" w:rsidP="009E3188">
            <w:pPr>
              <w:spacing w:after="0" w:line="240" w:lineRule="auto"/>
              <w:jc w:val="center"/>
              <w:rPr>
                <w:lang w:val="en-GB"/>
              </w:rPr>
            </w:pPr>
            <w:r>
              <w:rPr>
                <w:lang w:val="en-GB"/>
              </w:rPr>
              <w:t>Medium</w:t>
            </w:r>
          </w:p>
        </w:tc>
        <w:tc>
          <w:tcPr>
            <w:tcW w:w="1933" w:type="dxa"/>
            <w:shd w:val="clear" w:color="auto" w:fill="FFFF00"/>
            <w:vAlign w:val="center"/>
          </w:tcPr>
          <w:p w14:paraId="7DD51EDF" w14:textId="7F28FA6F" w:rsidR="009E3188" w:rsidRDefault="009E3188" w:rsidP="009E3188">
            <w:pPr>
              <w:spacing w:after="0" w:line="240" w:lineRule="auto"/>
              <w:jc w:val="center"/>
              <w:rPr>
                <w:lang w:val="en-GB"/>
              </w:rPr>
            </w:pPr>
            <w:r>
              <w:rPr>
                <w:lang w:val="en-GB"/>
              </w:rPr>
              <w:t>Low</w:t>
            </w:r>
          </w:p>
        </w:tc>
      </w:tr>
      <w:tr w:rsidR="009E3188" w14:paraId="7CDBA19F" w14:textId="740E5D93" w:rsidTr="009E3188">
        <w:trPr>
          <w:trHeight w:val="340"/>
          <w:jc w:val="center"/>
        </w:trPr>
        <w:tc>
          <w:tcPr>
            <w:tcW w:w="2990" w:type="dxa"/>
            <w:shd w:val="clear" w:color="auto" w:fill="B4C6E7" w:themeFill="accent1" w:themeFillTint="66"/>
            <w:tcMar>
              <w:left w:w="108" w:type="dxa"/>
            </w:tcMar>
            <w:vAlign w:val="center"/>
          </w:tcPr>
          <w:p w14:paraId="049CE610" w14:textId="1F915487" w:rsidR="009E3188" w:rsidRDefault="009E3188" w:rsidP="009E3188">
            <w:pPr>
              <w:spacing w:after="0" w:line="240" w:lineRule="auto"/>
              <w:jc w:val="center"/>
              <w:rPr>
                <w:lang w:val="en-GB"/>
              </w:rPr>
            </w:pPr>
            <w:r>
              <w:rPr>
                <w:lang w:val="en-GB"/>
              </w:rPr>
              <w:t>High (65% or more)</w:t>
            </w:r>
          </w:p>
        </w:tc>
        <w:tc>
          <w:tcPr>
            <w:tcW w:w="2250" w:type="dxa"/>
            <w:vMerge/>
            <w:shd w:val="clear" w:color="auto" w:fill="92D050"/>
            <w:tcMar>
              <w:left w:w="108" w:type="dxa"/>
            </w:tcMar>
            <w:vAlign w:val="center"/>
          </w:tcPr>
          <w:p w14:paraId="12329875" w14:textId="3C4CCF24" w:rsidR="009E3188" w:rsidRDefault="009E3188" w:rsidP="009E3188">
            <w:pPr>
              <w:spacing w:after="0" w:line="240" w:lineRule="auto"/>
              <w:jc w:val="center"/>
              <w:rPr>
                <w:lang w:val="en-GB"/>
              </w:rPr>
            </w:pPr>
          </w:p>
        </w:tc>
        <w:tc>
          <w:tcPr>
            <w:tcW w:w="1843" w:type="dxa"/>
            <w:shd w:val="clear" w:color="auto" w:fill="B4C6E7" w:themeFill="accent1" w:themeFillTint="66"/>
            <w:tcMar>
              <w:left w:w="108" w:type="dxa"/>
            </w:tcMar>
            <w:vAlign w:val="center"/>
          </w:tcPr>
          <w:p w14:paraId="3A0F6D29" w14:textId="77777777" w:rsidR="009E3188" w:rsidRDefault="009E3188" w:rsidP="009E3188">
            <w:pPr>
              <w:spacing w:after="0" w:line="240" w:lineRule="auto"/>
              <w:jc w:val="center"/>
              <w:rPr>
                <w:lang w:val="en-GB"/>
              </w:rPr>
            </w:pPr>
            <w:bookmarkStart w:id="2" w:name="_Hlk32586915"/>
            <w:bookmarkEnd w:id="2"/>
            <w:r>
              <w:rPr>
                <w:lang w:val="en-GB"/>
              </w:rPr>
              <w:t>High</w:t>
            </w:r>
          </w:p>
        </w:tc>
        <w:tc>
          <w:tcPr>
            <w:tcW w:w="1933" w:type="dxa"/>
            <w:shd w:val="clear" w:color="auto" w:fill="F7CAAC" w:themeFill="accent2" w:themeFillTint="66"/>
            <w:vAlign w:val="center"/>
          </w:tcPr>
          <w:p w14:paraId="6628C750" w14:textId="686A4001" w:rsidR="009E3188" w:rsidRDefault="009E3188" w:rsidP="009E3188">
            <w:pPr>
              <w:spacing w:after="0" w:line="240" w:lineRule="auto"/>
              <w:jc w:val="center"/>
              <w:rPr>
                <w:lang w:val="en-GB"/>
              </w:rPr>
            </w:pPr>
            <w:r>
              <w:rPr>
                <w:lang w:val="en-GB"/>
              </w:rPr>
              <w:t>Very low</w:t>
            </w:r>
          </w:p>
        </w:tc>
      </w:tr>
      <w:tr w:rsidR="00EA038E" w14:paraId="37596F8F" w14:textId="45732C17" w:rsidTr="009E3188">
        <w:trPr>
          <w:trHeight w:val="340"/>
          <w:jc w:val="center"/>
        </w:trPr>
        <w:tc>
          <w:tcPr>
            <w:tcW w:w="2990" w:type="dxa"/>
            <w:shd w:val="clear" w:color="auto" w:fill="D9D9D9" w:themeFill="background1" w:themeFillShade="D9"/>
            <w:tcMar>
              <w:left w:w="108" w:type="dxa"/>
            </w:tcMar>
            <w:vAlign w:val="center"/>
          </w:tcPr>
          <w:p w14:paraId="4CD378A4" w14:textId="77777777" w:rsidR="00EA038E" w:rsidRDefault="00EA038E" w:rsidP="009E3188">
            <w:pPr>
              <w:spacing w:after="0" w:line="240" w:lineRule="auto"/>
              <w:jc w:val="center"/>
              <w:rPr>
                <w:lang w:val="en-GB"/>
              </w:rPr>
            </w:pPr>
            <w:r>
              <w:rPr>
                <w:lang w:val="en-GB"/>
              </w:rPr>
              <w:t>Any value</w:t>
            </w:r>
          </w:p>
        </w:tc>
        <w:tc>
          <w:tcPr>
            <w:tcW w:w="2250" w:type="dxa"/>
            <w:shd w:val="clear" w:color="auto" w:fill="D9D9D9" w:themeFill="background1" w:themeFillShade="D9"/>
            <w:tcMar>
              <w:left w:w="108" w:type="dxa"/>
            </w:tcMar>
            <w:vAlign w:val="center"/>
          </w:tcPr>
          <w:p w14:paraId="02396C61" w14:textId="343600F2" w:rsidR="00EA038E" w:rsidRDefault="009E3188" w:rsidP="009E3188">
            <w:pPr>
              <w:spacing w:after="0" w:line="240" w:lineRule="auto"/>
              <w:jc w:val="center"/>
              <w:rPr>
                <w:lang w:val="en-GB"/>
              </w:rPr>
            </w:pPr>
            <w:r>
              <w:rPr>
                <w:lang w:val="en-GB"/>
              </w:rPr>
              <w:t>None (insignificant ROCSS)</w:t>
            </w:r>
          </w:p>
        </w:tc>
        <w:tc>
          <w:tcPr>
            <w:tcW w:w="1843" w:type="dxa"/>
            <w:shd w:val="clear" w:color="auto" w:fill="D9D9D9" w:themeFill="background1" w:themeFillShade="D9"/>
            <w:tcMar>
              <w:left w:w="108" w:type="dxa"/>
            </w:tcMar>
            <w:vAlign w:val="center"/>
          </w:tcPr>
          <w:p w14:paraId="6FFF7C88" w14:textId="77777777" w:rsidR="00EA038E" w:rsidRDefault="00EA038E" w:rsidP="009E3188">
            <w:pPr>
              <w:spacing w:after="0" w:line="240" w:lineRule="auto"/>
              <w:jc w:val="center"/>
              <w:rPr>
                <w:lang w:val="en-GB"/>
              </w:rPr>
            </w:pPr>
            <w:r>
              <w:rPr>
                <w:lang w:val="en-GB"/>
              </w:rPr>
              <w:t>None</w:t>
            </w:r>
          </w:p>
        </w:tc>
        <w:tc>
          <w:tcPr>
            <w:tcW w:w="1933" w:type="dxa"/>
            <w:shd w:val="clear" w:color="auto" w:fill="D9D9D9" w:themeFill="background1" w:themeFillShade="D9"/>
            <w:vAlign w:val="center"/>
          </w:tcPr>
          <w:p w14:paraId="6E6F5B00" w14:textId="57BE14D4" w:rsidR="00EA038E" w:rsidRDefault="0021713E" w:rsidP="009E3188">
            <w:pPr>
              <w:spacing w:after="0" w:line="240" w:lineRule="auto"/>
              <w:jc w:val="center"/>
              <w:rPr>
                <w:lang w:val="en-GB"/>
              </w:rPr>
            </w:pPr>
            <w:r>
              <w:rPr>
                <w:lang w:val="en-GB"/>
              </w:rPr>
              <w:t>None</w:t>
            </w:r>
          </w:p>
        </w:tc>
      </w:tr>
      <w:bookmarkEnd w:id="1"/>
    </w:tbl>
    <w:p w14:paraId="218E8DF9" w14:textId="456EAE9E" w:rsidR="00487937" w:rsidRDefault="00487937"/>
    <w:p w14:paraId="422DAFC0" w14:textId="6088315E" w:rsidR="00686CBF" w:rsidRDefault="00686CBF"/>
    <w:p w14:paraId="63DAC9F3" w14:textId="2F949062" w:rsidR="00686CBF" w:rsidRDefault="008C223F">
      <w:r w:rsidRPr="00686CBF">
        <w:rPr>
          <w:noProof/>
        </w:rPr>
        <w:drawing>
          <wp:anchor distT="0" distB="0" distL="114300" distR="114300" simplePos="0" relativeHeight="251662336" behindDoc="1" locked="0" layoutInCell="1" allowOverlap="1" wp14:anchorId="409752A9" wp14:editId="762994FC">
            <wp:simplePos x="0" y="0"/>
            <wp:positionH relativeFrom="column">
              <wp:posOffset>3138074</wp:posOffset>
            </wp:positionH>
            <wp:positionV relativeFrom="paragraph">
              <wp:posOffset>802319</wp:posOffset>
            </wp:positionV>
            <wp:extent cx="999490" cy="334010"/>
            <wp:effectExtent l="0" t="0" r="0" b="8890"/>
            <wp:wrapNone/>
            <wp:docPr id="3" name="Picture 3" descr="C:\Users\ljb\AppData\Local\Microsoft\Windows\INetCache\Content.MSO\DB9A1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jb\AppData\Local\Microsoft\Windows\INetCache\Content.MSO\DB9A16C.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7553" b="25108"/>
                    <a:stretch/>
                  </pic:blipFill>
                  <pic:spPr bwMode="auto">
                    <a:xfrm>
                      <a:off x="0" y="0"/>
                      <a:ext cx="999490" cy="334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6CBF">
        <w:rPr>
          <w:noProof/>
        </w:rPr>
        <w:drawing>
          <wp:anchor distT="0" distB="0" distL="114300" distR="114300" simplePos="0" relativeHeight="251661312" behindDoc="1" locked="0" layoutInCell="1" allowOverlap="1" wp14:anchorId="484E7CBA" wp14:editId="66D34E0E">
            <wp:simplePos x="0" y="0"/>
            <wp:positionH relativeFrom="column">
              <wp:posOffset>2295808</wp:posOffset>
            </wp:positionH>
            <wp:positionV relativeFrom="paragraph">
              <wp:posOffset>617407</wp:posOffset>
            </wp:positionV>
            <wp:extent cx="779145" cy="643255"/>
            <wp:effectExtent l="0" t="0" r="190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6CBF">
        <w:rPr>
          <w:noProof/>
        </w:rPr>
        <mc:AlternateContent>
          <mc:Choice Requires="wps">
            <w:drawing>
              <wp:anchor distT="45720" distB="45720" distL="114300" distR="114300" simplePos="0" relativeHeight="251660288" behindDoc="1" locked="0" layoutInCell="1" allowOverlap="1" wp14:anchorId="0FB7EE0B" wp14:editId="6E6D1868">
                <wp:simplePos x="0" y="0"/>
                <wp:positionH relativeFrom="column">
                  <wp:posOffset>2264287</wp:posOffset>
                </wp:positionH>
                <wp:positionV relativeFrom="paragraph">
                  <wp:posOffset>98654</wp:posOffset>
                </wp:positionV>
                <wp:extent cx="1950085" cy="1191026"/>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1191026"/>
                        </a:xfrm>
                        <a:prstGeom prst="rect">
                          <a:avLst/>
                        </a:prstGeom>
                        <a:solidFill>
                          <a:schemeClr val="accent1">
                            <a:lumMod val="20000"/>
                            <a:lumOff val="80000"/>
                          </a:schemeClr>
                        </a:solidFill>
                        <a:ln w="9525">
                          <a:noFill/>
                          <a:miter lim="800000"/>
                          <a:headEnd/>
                          <a:tailEnd/>
                        </a:ln>
                      </wps:spPr>
                      <wps:txbx>
                        <w:txbxContent>
                          <w:p w14:paraId="3172479B" w14:textId="12A1ECEA" w:rsidR="00686CBF" w:rsidRDefault="00686CBF" w:rsidP="00686CBF">
                            <w:pPr>
                              <w:rPr>
                                <w:lang w:val="en-GB"/>
                              </w:rPr>
                            </w:pPr>
                            <w:r w:rsidRPr="007D4A65">
                              <w:rPr>
                                <w:lang w:val="en-GB"/>
                              </w:rPr>
                              <w:t>Forecasts are issued by NIVA</w:t>
                            </w:r>
                            <w:r>
                              <w:rPr>
                                <w:lang w:val="en-GB"/>
                              </w:rPr>
                              <w:t xml:space="preserve"> as part of the ERA4CS-funded </w:t>
                            </w:r>
                            <w:proofErr w:type="spellStart"/>
                            <w:r>
                              <w:rPr>
                                <w:lang w:val="en-GB"/>
                              </w:rPr>
                              <w:t>WATExR</w:t>
                            </w:r>
                            <w:proofErr w:type="spellEnd"/>
                            <w:r>
                              <w:rPr>
                                <w:lang w:val="en-GB"/>
                              </w:rPr>
                              <w:t xml:space="preserve"> project</w:t>
                            </w:r>
                          </w:p>
                          <w:p w14:paraId="690A801B" w14:textId="77777777" w:rsidR="008C223F" w:rsidRPr="007D4A65" w:rsidRDefault="008C223F" w:rsidP="00686CB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7EE0B" id="_x0000_t202" coordsize="21600,21600" o:spt="202" path="m,l,21600r21600,l21600,xe">
                <v:stroke joinstyle="miter"/>
                <v:path gradientshapeok="t" o:connecttype="rect"/>
              </v:shapetype>
              <v:shape id="Text Box 2" o:spid="_x0000_s1026" type="#_x0000_t202" style="position:absolute;left:0;text-align:left;margin-left:178.3pt;margin-top:7.75pt;width:153.55pt;height:93.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" fillcolor="#d9e2f3 [660]" stroked="f">
                <v:textbox>
                  <w:txbxContent>
                    <w:p w14:paraId="3172479B" w14:textId="12A1ECEA" w:rsidR="00686CBF" w:rsidRDefault="00686CBF" w:rsidP="00686CBF">
                      <w:pPr>
                        <w:rPr>
                          <w:lang w:val="en-GB"/>
                        </w:rPr>
                      </w:pPr>
                      <w:r w:rsidRPr="007D4A65">
                        <w:rPr>
                          <w:lang w:val="en-GB"/>
                        </w:rPr>
                        <w:t>Forecasts are issued by NIVA</w:t>
                      </w:r>
                      <w:r>
                        <w:rPr>
                          <w:lang w:val="en-GB"/>
                        </w:rPr>
                        <w:t xml:space="preserve"> as part of the ERA4CS-funded WATExR project</w:t>
                      </w:r>
                    </w:p>
                    <w:p w14:paraId="690A801B" w14:textId="77777777" w:rsidR="008C223F" w:rsidRPr="007D4A65" w:rsidRDefault="008C223F" w:rsidP="00686CBF">
                      <w:pPr>
                        <w:rPr>
                          <w:lang w:val="en-GB"/>
                        </w:rPr>
                      </w:pPr>
                    </w:p>
                  </w:txbxContent>
                </v:textbox>
              </v:shape>
            </w:pict>
          </mc:Fallback>
        </mc:AlternateContent>
      </w:r>
    </w:p>
    <w:sectPr w:rsidR="00686CBF" w:rsidSect="00283901">
      <w:headerReference w:type="default" r:id="rId10"/>
      <w:pgSz w:w="11906" w:h="16838"/>
      <w:pgMar w:top="1134" w:right="851" w:bottom="1134" w:left="85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5E072" w14:textId="77777777" w:rsidR="00B4116C" w:rsidRDefault="00B4116C" w:rsidP="00B4116C">
      <w:pPr>
        <w:spacing w:after="0" w:line="240" w:lineRule="auto"/>
      </w:pPr>
      <w:r>
        <w:separator/>
      </w:r>
    </w:p>
  </w:endnote>
  <w:endnote w:type="continuationSeparator" w:id="0">
    <w:p w14:paraId="7F5C4FF5" w14:textId="77777777" w:rsidR="00B4116C" w:rsidRDefault="00B4116C" w:rsidP="00B4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nev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1D20D" w14:textId="77777777" w:rsidR="00B4116C" w:rsidRDefault="00B4116C" w:rsidP="00B4116C">
      <w:pPr>
        <w:spacing w:after="0" w:line="240" w:lineRule="auto"/>
      </w:pPr>
      <w:r>
        <w:separator/>
      </w:r>
    </w:p>
  </w:footnote>
  <w:footnote w:type="continuationSeparator" w:id="0">
    <w:p w14:paraId="68ED1688" w14:textId="77777777" w:rsidR="00B4116C" w:rsidRDefault="00B4116C" w:rsidP="00B41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8614D" w14:textId="2F58FFAC" w:rsidR="00B4116C" w:rsidRDefault="00B4116C" w:rsidP="008C22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295E"/>
    <w:multiLevelType w:val="multilevel"/>
    <w:tmpl w:val="825ED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E06822"/>
    <w:multiLevelType w:val="multilevel"/>
    <w:tmpl w:val="4084890A"/>
    <w:lvl w:ilvl="0">
      <w:start w:val="1"/>
      <w:numFmt w:val="decimal"/>
      <w:lvlText w:val="%1)"/>
      <w:lvlJc w:val="left"/>
      <w:pPr>
        <w:ind w:left="360" w:hanging="360"/>
      </w:pPr>
      <w:rPr>
        <w:rFonts w:eastAsia="Geneva"/>
        <w:b/>
        <w:color w:val="4472C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90B359B"/>
    <w:multiLevelType w:val="multilevel"/>
    <w:tmpl w:val="7A00A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1240B2"/>
    <w:multiLevelType w:val="multilevel"/>
    <w:tmpl w:val="6F1C16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B2"/>
    <w:rsid w:val="0021713E"/>
    <w:rsid w:val="00252043"/>
    <w:rsid w:val="002564E1"/>
    <w:rsid w:val="00283901"/>
    <w:rsid w:val="00451FC6"/>
    <w:rsid w:val="00487937"/>
    <w:rsid w:val="004E5004"/>
    <w:rsid w:val="005B218F"/>
    <w:rsid w:val="00634449"/>
    <w:rsid w:val="00677D62"/>
    <w:rsid w:val="00686CBF"/>
    <w:rsid w:val="00836310"/>
    <w:rsid w:val="00880869"/>
    <w:rsid w:val="008C223F"/>
    <w:rsid w:val="008C5282"/>
    <w:rsid w:val="0094280D"/>
    <w:rsid w:val="009B2A6F"/>
    <w:rsid w:val="009E3188"/>
    <w:rsid w:val="00B14EE1"/>
    <w:rsid w:val="00B4116C"/>
    <w:rsid w:val="00BD1D90"/>
    <w:rsid w:val="00D17F09"/>
    <w:rsid w:val="00DA4EB1"/>
    <w:rsid w:val="00DA6D85"/>
    <w:rsid w:val="00E47B2D"/>
    <w:rsid w:val="00E7359A"/>
    <w:rsid w:val="00EA038E"/>
    <w:rsid w:val="00F47EB2"/>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ADFCB3F"/>
  <w15:docId w15:val="{E59AF835-0440-4624-A816-14819A92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88"/>
    <w:pPr>
      <w:spacing w:after="160" w:line="259" w:lineRule="auto"/>
      <w:jc w:val="both"/>
    </w:pPr>
    <w:rPr>
      <w:rFonts w:ascii="Arial" w:hAnsi="Arial"/>
      <w:sz w:val="20"/>
    </w:rPr>
  </w:style>
  <w:style w:type="paragraph" w:styleId="Heading3">
    <w:name w:val="heading 3"/>
    <w:basedOn w:val="Normal"/>
    <w:link w:val="Heading3Char"/>
    <w:qFormat/>
    <w:rsid w:val="003147B6"/>
    <w:pPr>
      <w:keepNext/>
      <w:keepLines/>
      <w:suppressAutoHyphens/>
      <w:spacing w:before="320" w:after="240" w:line="360" w:lineRule="auto"/>
      <w:textAlignment w:val="baseline"/>
      <w:outlineLvl w:val="2"/>
    </w:pPr>
    <w:rPr>
      <w:rFonts w:eastAsia="Arial" w:cs="Arial"/>
      <w:i/>
      <w:color w:val="434343"/>
      <w:sz w:val="28"/>
      <w:szCs w:val="28"/>
      <w:lang w:val="da-DK"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3147B6"/>
    <w:rPr>
      <w:rFonts w:ascii="Arial" w:eastAsia="Arial" w:hAnsi="Arial" w:cs="Arial"/>
      <w:i/>
      <w:color w:val="434343"/>
      <w:sz w:val="28"/>
      <w:szCs w:val="28"/>
      <w:lang w:val="da-DK" w:eastAsia="zh-CN" w:bidi="hi-IN"/>
    </w:rPr>
  </w:style>
  <w:style w:type="character" w:customStyle="1" w:styleId="InternetLink">
    <w:name w:val="Internet Link"/>
    <w:basedOn w:val="DefaultParagraphFont"/>
    <w:uiPriority w:val="99"/>
    <w:semiHidden/>
    <w:unhideWhenUsed/>
    <w:rsid w:val="000B5B01"/>
    <w:rPr>
      <w:color w:val="0000FF"/>
      <w:u w:val="single"/>
    </w:rPr>
  </w:style>
  <w:style w:type="character" w:styleId="CommentReference">
    <w:name w:val="annotation reference"/>
    <w:basedOn w:val="DefaultParagraphFont"/>
    <w:uiPriority w:val="99"/>
    <w:semiHidden/>
    <w:unhideWhenUsed/>
    <w:qFormat/>
    <w:rsid w:val="004C162F"/>
    <w:rPr>
      <w:sz w:val="16"/>
      <w:szCs w:val="16"/>
    </w:rPr>
  </w:style>
  <w:style w:type="character" w:customStyle="1" w:styleId="CommentTextChar">
    <w:name w:val="Comment Text Char"/>
    <w:basedOn w:val="DefaultParagraphFont"/>
    <w:link w:val="CommentText"/>
    <w:uiPriority w:val="99"/>
    <w:qFormat/>
    <w:rsid w:val="004C162F"/>
    <w:rPr>
      <w:rFonts w:ascii="Arial" w:hAnsi="Arial"/>
      <w:sz w:val="20"/>
      <w:szCs w:val="20"/>
    </w:rPr>
  </w:style>
  <w:style w:type="character" w:customStyle="1" w:styleId="CommentSubjectChar">
    <w:name w:val="Comment Subject Char"/>
    <w:basedOn w:val="CommentTextChar"/>
    <w:link w:val="CommentSubject"/>
    <w:uiPriority w:val="99"/>
    <w:semiHidden/>
    <w:qFormat/>
    <w:rsid w:val="004C162F"/>
    <w:rPr>
      <w:rFonts w:ascii="Arial" w:hAnsi="Arial"/>
      <w:b/>
      <w:bCs/>
      <w:sz w:val="20"/>
      <w:szCs w:val="20"/>
    </w:rPr>
  </w:style>
  <w:style w:type="character" w:customStyle="1" w:styleId="BalloonTextChar">
    <w:name w:val="Balloon Text Char"/>
    <w:basedOn w:val="DefaultParagraphFont"/>
    <w:link w:val="BalloonText"/>
    <w:uiPriority w:val="99"/>
    <w:semiHidden/>
    <w:qFormat/>
    <w:rsid w:val="004C162F"/>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Geneva"/>
      <w:b/>
      <w:color w:val="4472C4"/>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WATExR-captiontable">
    <w:name w:val="WATExR- caption_table"/>
    <w:basedOn w:val="Normal"/>
    <w:qFormat/>
    <w:rsid w:val="003147B6"/>
    <w:pPr>
      <w:suppressAutoHyphens/>
      <w:spacing w:after="240" w:line="240" w:lineRule="auto"/>
      <w:textAlignment w:val="baseline"/>
    </w:pPr>
    <w:rPr>
      <w:rFonts w:eastAsia="Arial" w:cs="Arial"/>
      <w:color w:val="00000A"/>
      <w:lang w:val="da-DK" w:eastAsia="zh-CN" w:bidi="hi-IN"/>
    </w:rPr>
  </w:style>
  <w:style w:type="paragraph" w:customStyle="1" w:styleId="WXtext">
    <w:name w:val="WX text"/>
    <w:basedOn w:val="Normal"/>
    <w:qFormat/>
    <w:rsid w:val="00D22170"/>
    <w:pPr>
      <w:suppressAutoHyphens/>
      <w:spacing w:after="158" w:line="300" w:lineRule="auto"/>
      <w:ind w:firstLine="561"/>
      <w:textAlignment w:val="baseline"/>
    </w:pPr>
    <w:rPr>
      <w:rFonts w:eastAsia="Arial" w:cs="Arial"/>
      <w:color w:val="00000A"/>
      <w:lang w:val="da-DK" w:eastAsia="zh-CN" w:bidi="hi-IN"/>
    </w:rPr>
  </w:style>
  <w:style w:type="paragraph" w:styleId="ListParagraph">
    <w:name w:val="List Paragraph"/>
    <w:basedOn w:val="Normal"/>
    <w:uiPriority w:val="34"/>
    <w:qFormat/>
    <w:rsid w:val="00EF0FCC"/>
    <w:pPr>
      <w:spacing w:after="0" w:line="240" w:lineRule="auto"/>
      <w:ind w:left="720"/>
      <w:contextualSpacing/>
    </w:pPr>
    <w:rPr>
      <w:rFonts w:eastAsia="Times New Roman" w:cs="Times New Roman"/>
      <w:szCs w:val="24"/>
      <w:lang w:val="en-GB" w:eastAsia="en-GB"/>
    </w:rPr>
  </w:style>
  <w:style w:type="paragraph" w:styleId="CommentText">
    <w:name w:val="annotation text"/>
    <w:basedOn w:val="Normal"/>
    <w:link w:val="CommentTextChar"/>
    <w:uiPriority w:val="99"/>
    <w:unhideWhenUsed/>
    <w:qFormat/>
    <w:rsid w:val="004C162F"/>
    <w:pPr>
      <w:spacing w:line="240" w:lineRule="auto"/>
    </w:pPr>
    <w:rPr>
      <w:szCs w:val="20"/>
    </w:rPr>
  </w:style>
  <w:style w:type="paragraph" w:styleId="CommentSubject">
    <w:name w:val="annotation subject"/>
    <w:basedOn w:val="CommentText"/>
    <w:link w:val="CommentSubjectChar"/>
    <w:uiPriority w:val="99"/>
    <w:semiHidden/>
    <w:unhideWhenUsed/>
    <w:qFormat/>
    <w:rsid w:val="004C162F"/>
    <w:rPr>
      <w:b/>
      <w:bCs/>
    </w:rPr>
  </w:style>
  <w:style w:type="paragraph" w:styleId="BalloonText">
    <w:name w:val="Balloon Text"/>
    <w:basedOn w:val="Normal"/>
    <w:link w:val="BalloonTextChar"/>
    <w:uiPriority w:val="99"/>
    <w:semiHidden/>
    <w:unhideWhenUsed/>
    <w:qFormat/>
    <w:rsid w:val="004C162F"/>
    <w:pPr>
      <w:spacing w:after="0" w:line="240" w:lineRule="auto"/>
    </w:pPr>
    <w:rPr>
      <w:rFonts w:ascii="Segoe UI" w:hAnsi="Segoe UI" w:cs="Segoe UI"/>
      <w:sz w:val="18"/>
      <w:szCs w:val="18"/>
    </w:rPr>
  </w:style>
  <w:style w:type="table" w:styleId="TableGrid">
    <w:name w:val="Table Grid"/>
    <w:basedOn w:val="TableNormal"/>
    <w:uiPriority w:val="39"/>
    <w:rsid w:val="000B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16C"/>
    <w:rPr>
      <w:rFonts w:ascii="Arial" w:hAnsi="Arial"/>
      <w:sz w:val="20"/>
    </w:rPr>
  </w:style>
  <w:style w:type="paragraph" w:styleId="Footer">
    <w:name w:val="footer"/>
    <w:basedOn w:val="Normal"/>
    <w:link w:val="FooterChar"/>
    <w:uiPriority w:val="99"/>
    <w:unhideWhenUsed/>
    <w:rsid w:val="00B41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16C"/>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Jackson-Blake</dc:creator>
  <dc:description/>
  <cp:lastModifiedBy>James Edward Sample</cp:lastModifiedBy>
  <cp:revision>4</cp:revision>
  <cp:lastPrinted>2020-03-11T10:15:00Z</cp:lastPrinted>
  <dcterms:created xsi:type="dcterms:W3CDTF">2020-02-19T12:08:00Z</dcterms:created>
  <dcterms:modified xsi:type="dcterms:W3CDTF">2020-03-11T11:05:00Z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