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4"/>
        <w:tblW w:w="928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rPr>
          <w:trHeight w:val="839" w:hRule="atLeast"/>
        </w:trPr>
        <w:tc>
          <w:tcPr>
            <w:tcW w:w="9287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实验名称：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光电效应和普朗克常数的测定</w:t>
            </w:r>
          </w:p>
        </w:tc>
      </w:tr>
    </w:tbl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</w:rPr>
        <w:t>一、实验仪器：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eastAsia="zh-CN"/>
        </w:rPr>
        <w:t>该实验所用主要仪器是：</w:t>
      </w:r>
      <w:r>
        <w:rPr>
          <w:rFonts w:eastAsia="楷体_GB2312" w:ascii="楷体_GB2312" w:hAnsi="楷体_GB2312"/>
          <w:sz w:val="28"/>
          <w:szCs w:val="28"/>
          <w:lang w:eastAsia="zh-CN"/>
        </w:rPr>
        <w:t>{{choice_01}}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</w:rPr>
        <w:t>高压汞灯及电源、滤光片、光阑、光电管和测试仪组成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</w:rPr>
        <w:t>高压汞灯及电源、</w:t>
      </w:r>
      <w:r>
        <w:rPr>
          <w:rFonts w:ascii="楷体_GB2312" w:hAnsi="楷体_GB2312" w:eastAsia="楷体_GB2312"/>
          <w:sz w:val="28"/>
          <w:szCs w:val="28"/>
          <w:lang w:eastAsia="zh-CN"/>
        </w:rPr>
        <w:t>偏振</w:t>
      </w:r>
      <w:r>
        <w:rPr>
          <w:rFonts w:ascii="楷体_GB2312" w:hAnsi="楷体_GB2312" w:eastAsia="楷体_GB2312"/>
          <w:sz w:val="28"/>
          <w:szCs w:val="28"/>
        </w:rPr>
        <w:t>片、光阑、光电管和测试仪组成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、钠光</w:t>
      </w:r>
      <w:r>
        <w:rPr>
          <w:rFonts w:ascii="楷体_GB2312" w:hAnsi="楷体_GB2312" w:eastAsia="楷体_GB2312"/>
          <w:sz w:val="28"/>
          <w:szCs w:val="28"/>
        </w:rPr>
        <w:t>灯及电源、滤光片、光阑、</w:t>
      </w:r>
      <w:r>
        <w:rPr>
          <w:rFonts w:ascii="楷体_GB2312" w:hAnsi="楷体_GB2312" w:eastAsia="楷体_GB2312"/>
          <w:sz w:val="28"/>
          <w:szCs w:val="28"/>
          <w:lang w:eastAsia="zh-CN"/>
        </w:rPr>
        <w:t>平行</w:t>
      </w:r>
      <w:r>
        <w:rPr>
          <w:rFonts w:ascii="楷体_GB2312" w:hAnsi="楷体_GB2312" w:eastAsia="楷体_GB2312"/>
          <w:sz w:val="28"/>
          <w:szCs w:val="28"/>
        </w:rPr>
        <w:t>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二</w:t>
      </w:r>
      <w:r>
        <w:rPr>
          <w:rFonts w:ascii="楷体_GB2312" w:hAnsi="楷体_GB2312" w:eastAsia="楷体_GB2312"/>
          <w:sz w:val="28"/>
          <w:szCs w:val="28"/>
        </w:rPr>
        <w:t>、实验目的：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光电效应实验将加深对光的（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{{choice_02}}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）的理解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、波动性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、光子性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、量子性 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光电效应实验可以用来测定（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{{choice_03}}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）常数</w:t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、普朗克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、玻尔兹曼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、引力 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三</w:t>
      </w:r>
      <w:r>
        <w:rPr>
          <w:rFonts w:ascii="楷体_GB2312" w:hAnsi="楷体_GB2312" w:eastAsia="楷体_GB2312"/>
          <w:sz w:val="28"/>
          <w:szCs w:val="28"/>
        </w:rPr>
        <w:t>、原理简述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光电效应存在一个截止频率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>，仅当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时，才能从金属表面打出光电子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{{choice_04}}</w:t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b/>
          <w:b/>
          <w:bCs/>
          <w:color w:val="C00000"/>
          <w:sz w:val="32"/>
          <w:szCs w:val="32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、入射光频率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position w:val="-5"/>
          <w:sz w:val="28"/>
          <w:szCs w:val="28"/>
          <w:lang w:val="en-US" w:eastAsia="zh-CN"/>
        </w:rPr>
        <w:t xml:space="preserve"> 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、入射光频率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color w:val="00000A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color w:val="00000A"/>
          <w:sz w:val="28"/>
          <w:szCs w:val="28"/>
          <w:lang w:val="en-US" w:eastAsia="zh-CN"/>
        </w:rPr>
        <w:t xml:space="preserve">、任何入射光频率 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光电效应发生时单位时间内产生光电子的数目</w:t>
      </w:r>
      <w:r>
        <w:rPr>
          <w:rFonts w:ascii="楷体_GB2312" w:hAnsi="楷体_GB2312" w:eastAsia="楷体_GB2312"/>
          <w:color w:val="C00000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{{choice_05}}</w:t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、仅与入射光强有关，与入射光频率无关；</w:t>
      </w:r>
    </w:p>
    <w:p>
      <w:pPr>
        <w:pStyle w:val="Normal"/>
        <w:spacing w:lineRule="auto" w:line="360"/>
        <w:ind w:left="-44" w:firstLine="344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、仅与入射光频率有关，与入射光强无关；</w:t>
      </w:r>
    </w:p>
    <w:p>
      <w:pPr>
        <w:pStyle w:val="Normal"/>
        <w:spacing w:lineRule="auto" w:line="360"/>
        <w:ind w:left="-44" w:firstLine="344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、既与入射光强有关，也与入射光频率有关；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光电效应发生时单个光电子的动能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{{choice_06}}</w:t>
      </w:r>
    </w:p>
    <w:p>
      <w:pPr>
        <w:pStyle w:val="Normal"/>
        <w:numPr>
          <w:ilvl w:val="0"/>
          <w:numId w:val="0"/>
        </w:numPr>
        <w:ind w:firstLine="280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、随入射光频率提高而减小，与入射光强无关；</w:t>
      </w:r>
    </w:p>
    <w:p>
      <w:pPr>
        <w:pStyle w:val="Normal"/>
        <w:spacing w:lineRule="auto" w:line="360"/>
        <w:ind w:left="-44" w:firstLine="344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、随入射光频率提高而增大，与入射光强有关；</w:t>
      </w:r>
    </w:p>
    <w:p>
      <w:pPr>
        <w:pStyle w:val="Normal"/>
        <w:numPr>
          <w:ilvl w:val="0"/>
          <w:numId w:val="0"/>
        </w:numPr>
        <w:ind w:firstLine="280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、随入射光频率提高而增大，与入射光强无关；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4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爱因斯坦提出的光电方程为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{{choice_07}}</w:t>
      </w:r>
    </w:p>
    <w:p>
      <w:pPr>
        <w:pStyle w:val="Normal"/>
        <w:spacing w:lineRule="auto" w:line="360"/>
        <w:ind w:left="-44" w:firstLine="344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</m:t>
        </m:r>
      </m:oMath>
      <w:r>
        <w:rPr>
          <w:rFonts w:ascii="楷体_GB2312" w:hAnsi="楷体_GB2312" w:eastAsia="楷体_GB2312"/>
          <w:position w:val="-17"/>
          <w:sz w:val="28"/>
          <w:szCs w:val="28"/>
          <w:lang w:val="en-US" w:eastAsia="zh-CN"/>
        </w:rPr>
        <w:t xml:space="preserve"> 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W</m:t>
        </m:r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 xml:space="preserve">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楷体_GB2312" w:hAnsi="楷体_GB2312" w:eastAsia="楷体_GB2312"/>
          <w:position w:val="-17"/>
          <w:sz w:val="28"/>
          <w:szCs w:val="28"/>
          <w:lang w:val="en-US" w:eastAsia="zh-CN"/>
        </w:rPr>
        <w:t xml:space="preserve"> 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b/>
          <w:sz w:val="28"/>
          <w:szCs w:val="28"/>
          <w:lang w:val="en-US" w:eastAsia="zh-CN"/>
        </w:rPr>
        <w:t>5</w:t>
      </w:r>
      <w:r>
        <w:rPr>
          <w:rFonts w:ascii="楷体_GB2312" w:hAnsi="楷体_GB2312" w:eastAsia="楷体_GB2312"/>
          <w:b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光电效应发生时光电流为零时电压满足的条件为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{{choice_08}}</w:t>
      </w:r>
    </w:p>
    <w:p>
      <w:pPr>
        <w:pStyle w:val="Normal"/>
        <w:numPr>
          <w:ilvl w:val="0"/>
          <w:numId w:val="0"/>
        </w:numPr>
        <w:ind w:firstLine="280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、反向电压大于截止电压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</w:p>
    <w:p>
      <w:pPr>
        <w:pStyle w:val="Normal"/>
        <w:spacing w:lineRule="auto" w:line="360"/>
        <w:ind w:left="-44" w:firstLine="344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、反向电压等于截止电压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</w:p>
    <w:p>
      <w:pPr>
        <w:pStyle w:val="Normal"/>
        <w:numPr>
          <w:ilvl w:val="0"/>
          <w:numId w:val="0"/>
        </w:numPr>
        <w:ind w:firstLine="280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、反向电压小于截止电压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6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在测量普朗克常数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>的实验操作中“电流量程”选择开关置于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{{choice_09}}</w:t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7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在测量光电管的伏安特性曲线的实验操作中“电流量程”选择开关置于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{{choice_10}}</w:t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 xml:space="preserve">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8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在光电效应实验操作中，每次更换滤光片或光阑时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{{choice_11}}</w:t>
      </w:r>
    </w:p>
    <w:p>
      <w:pPr>
        <w:pStyle w:val="Normal"/>
        <w:numPr>
          <w:ilvl w:val="0"/>
          <w:numId w:val="0"/>
        </w:numPr>
        <w:ind w:firstLine="280"/>
        <w:rPr>
          <w:rFonts w:ascii="楷体_GB2312" w:hAnsi="楷体_GB2312" w:eastAsia="楷体_GB2312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、直接更换即可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、先将汞灯关闭 </w:t>
      </w:r>
    </w:p>
    <w:p>
      <w:pPr>
        <w:pStyle w:val="Normal"/>
        <w:spacing w:lineRule="auto" w:line="360"/>
        <w:ind w:left="-44" w:firstLine="344"/>
        <w:rPr>
          <w:rFonts w:ascii="Arial" w:hAnsi="Arial" w:eastAsia="楷体_GB2312" w:cs="Arial"/>
          <w:b/>
          <w:b/>
          <w:bCs/>
          <w:color w:val="C00000"/>
          <w:sz w:val="36"/>
          <w:szCs w:val="36"/>
        </w:rPr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、一定先将汞灯出光窗口用遮光罩罩住 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</w:rPr>
        <w:t>三、实验内容及数据处理</w:t>
      </w:r>
    </w:p>
    <w:p>
      <w:pPr>
        <w:pStyle w:val="Normal"/>
        <w:spacing w:lineRule="auto" w:line="360"/>
        <w:ind w:left="-44" w:firstLine="5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(45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>测量普朗克常数</w:t>
      </w:r>
      <w:r>
        <w:rPr>
          <w:sz w:val="28"/>
          <w:szCs w:val="28"/>
        </w:rPr>
        <w:t>h</w: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</w:rPr>
      </w:pPr>
      <w:r>
        <w:rPr>
          <w:sz w:val="28"/>
          <w:szCs w:val="28"/>
          <w:lang w:eastAsia="zh-CN"/>
        </w:rPr>
        <w:t>（</w:t>
      </w:r>
      <w:r>
        <w:rPr>
          <w:sz w:val="28"/>
          <w:szCs w:val="28"/>
        </w:rPr>
        <w:t>公认值是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6260755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sz w:val="28"/>
          <w:szCs w:val="28"/>
          <w:lang w:eastAsia="zh-CN"/>
        </w:rPr>
        <w:t>）</w:t>
      </w:r>
      <w:r>
        <w:rPr>
          <w:sz w:val="28"/>
          <w:szCs w:val="28"/>
          <w:lang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b/>
          <w:b/>
          <w:bCs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</w:p>
    <w:tbl>
      <w:tblPr>
        <w:tblStyle w:val="4"/>
        <w:tblW w:w="83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72"/>
        <w:gridCol w:w="1194"/>
        <w:gridCol w:w="1063"/>
        <w:gridCol w:w="1078"/>
        <w:gridCol w:w="1268"/>
        <w:gridCol w:w="1350"/>
      </w:tblGrid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波长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drawing>
                <wp:anchor behindDoc="0" distT="0" distB="0" distL="114300" distR="123190" simplePos="0" locked="0" layoutInCell="1" allowOverlap="1" relativeHeight="2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64135</wp:posOffset>
                  </wp:positionV>
                  <wp:extent cx="161925" cy="228600"/>
                  <wp:effectExtent l="0" t="0" r="0" b="0"/>
                  <wp:wrapNone/>
                  <wp:docPr id="1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</w:rPr>
              <w:t>nm)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365.0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405.0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436.0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546.0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577.0</w:t>
            </w:r>
          </w:p>
        </w:tc>
      </w:tr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68580</wp:posOffset>
                  </wp:positionV>
                  <wp:extent cx="152400" cy="228600"/>
                  <wp:effectExtent l="0" t="0" r="0" b="0"/>
                  <wp:wrapNone/>
                  <wp:docPr id="2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频</w:t>
            </w:r>
            <w:r>
              <w:rPr>
                <w:rFonts w:ascii="宋体" w:hAnsi="宋体" w:cs="宋体"/>
                <w:sz w:val="24"/>
              </w:rPr>
              <w:t xml:space="preserve">率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  <w:vertAlign w:val="subscript"/>
              </w:rPr>
              <w:drawing>
                <wp:inline distT="0" distB="0" distL="0" distR="0">
                  <wp:extent cx="581660" cy="200025"/>
                  <wp:effectExtent l="0" t="0" r="0" b="0"/>
                  <wp:docPr id="3" name="图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ascii="宋体" w:hAnsi="宋体"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8.214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7.408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6.879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5.490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5.196</w:t>
            </w:r>
          </w:p>
        </w:tc>
      </w:tr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drawing>
                <wp:anchor behindDoc="0" distT="0" distB="0" distL="114300" distR="123190" simplePos="0" locked="0" layoutInCell="1" allowOverlap="1" relativeHeight="4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62230</wp:posOffset>
                  </wp:positionV>
                  <wp:extent cx="200025" cy="228600"/>
                  <wp:effectExtent l="0" t="0" r="0" b="0"/>
                  <wp:wrapNone/>
                  <wp:docPr id="4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截</w:t>
            </w:r>
            <w:r>
              <w:rPr>
                <w:rFonts w:ascii="宋体" w:hAnsi="宋体" w:cs="宋体"/>
                <w:sz w:val="24"/>
              </w:rPr>
              <w:t xml:space="preserve">止电压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  <w:vertAlign w:val="subscript"/>
              </w:rPr>
              <w:drawing>
                <wp:inline distT="0" distB="0" distL="0" distR="0">
                  <wp:extent cx="153670" cy="180975"/>
                  <wp:effectExtent l="0" t="0" r="0" b="0"/>
                  <wp:docPr id="5" name="图片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ascii="宋体" w:hAnsi="宋体"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{{blank_01_01}}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{{blank_01_02}}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{{blank_01_03}}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cs="宋体" w:ascii="宋体" w:hAnsi="宋体"/>
                <w:sz w:val="24"/>
              </w:rPr>
              <w:t>{{blank_01_04}}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{{blank_01_05}}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rPr>
          <w:rFonts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绘出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ν</m:t>
        </m:r>
      </m:oMath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关系曲线 ，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/>
        <w:t>{{@localPicture1}}</w:t>
      </w:r>
    </w:p>
    <w:p>
      <w:pPr>
        <w:pStyle w:val="3"/>
        <w:snapToGrid w:val="false"/>
        <w:spacing w:lineRule="auto" w:line="360" w:beforeAutospacing="0" w:before="0" w:afterAutospacing="0" w:after="0"/>
        <w:rPr>
          <w:rFonts w:ascii="Calibri" w:hAnsi="Calibri" w:cs="Times New Roman"/>
          <w:b/>
          <w:b/>
          <w:i w:val="false"/>
          <w:i w:val="false"/>
          <w:caps w:val="false"/>
          <w:smallCaps w:val="false"/>
          <w:color w:val="24292E"/>
          <w:spacing w:val="0"/>
          <w:kern w:val="2"/>
          <w:sz w:val="28"/>
          <w:szCs w:val="28"/>
          <w:lang w:val="en-US" w:eastAsia="zh-CN" w:bidi="ar-SA"/>
        </w:rPr>
      </w:pPr>
      <w:r>
        <w:rPr>
          <w:rFonts w:cs="Times New Roman" w:ascii="Calibri" w:hAnsi="Calibri"/>
          <w:b/>
          <w:i w:val="false"/>
          <w:caps w:val="false"/>
          <w:smallCaps w:val="false"/>
          <w:color w:val="24292E"/>
          <w:spacing w:val="0"/>
          <w:kern w:val="2"/>
          <w:sz w:val="28"/>
          <w:szCs w:val="28"/>
          <w:lang w:val="en-US" w:eastAsia="zh-CN" w:bidi="ar-SA"/>
        </w:rPr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计算斜率 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</m:oMath>
      <w:r>
        <w:rPr/>
        <w:t>{{blank_02_01}}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position w:val="-2"/>
          <w:sz w:val="28"/>
          <w:szCs w:val="28"/>
          <w:lang w:val="en-US" w:eastAsia="zh-CN" w:bidi="ar-SA"/>
        </w:rPr>
        <w:t>普朗克常数</w:t>
      </w:r>
      <w:r>
        <w:rPr>
          <w:rFonts w:ascii="Calibri" w:hAnsi="Calibri" w:cs="Times New Roman"/>
          <w:kern w:val="2"/>
          <w:position w:val="-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ek</m:t>
        </m:r>
        <m:r>
          <w:rPr>
            <w:rFonts w:ascii="Cambria Math" w:hAnsi="Cambria Math"/>
          </w:rPr>
          <m:t xml:space="preserve">=</m:t>
        </m:r>
      </m:oMath>
      <w:r>
        <w:rPr>
          <w:rFonts w:eastAsia="宋体" w:cs="Times New Roman" w:ascii="Calibri" w:hAnsi="Calibri"/>
          <w:kern w:val="2"/>
          <w:sz w:val="21"/>
          <w:szCs w:val="21"/>
          <w:lang w:val="en-US" w:eastAsia="zh-CN" w:bidi="ar-SA"/>
        </w:rPr>
        <w:t>{{blank_02_02}}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相对误差 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</m:oMath>
      <w:r>
        <w:rPr>
          <w:rFonts w:eastAsia="宋体" w:cs="Times New Roman" w:ascii="Calibri" w:hAnsi="Calibri"/>
          <w:kern w:val="2"/>
          <w:sz w:val="21"/>
          <w:szCs w:val="21"/>
          <w:lang w:val="en-US" w:eastAsia="zh-CN" w:bidi="ar-SA"/>
        </w:rPr>
        <w:t>{{blank_02_03}}</w:t>
      </w:r>
    </w:p>
    <w:p>
      <w:pPr>
        <w:pStyle w:val="NormalWeb"/>
        <w:snapToGrid w:val="false"/>
        <w:spacing w:lineRule="auto" w:line="360" w:beforeAutospacing="0" w:before="0" w:afterAutospacing="0" w:after="0"/>
        <w:rPr>
          <w:rFonts w:ascii="Calibri" w:hAnsi="Calibri" w:cs="Times New Roman"/>
          <w:color w:val="C00000"/>
          <w:kern w:val="2"/>
          <w:sz w:val="28"/>
          <w:szCs w:val="28"/>
          <w:lang w:val="en-US" w:eastAsia="zh-CN" w:bidi="ar-SA"/>
        </w:rPr>
      </w:pPr>
      <w:r>
        <w:rPr>
          <w:rFonts w:cs="Times New Roman" w:ascii="Calibri" w:hAnsi="Calibri"/>
          <w:color w:val="C00000"/>
          <w:kern w:val="2"/>
          <w:sz w:val="28"/>
          <w:szCs w:val="28"/>
          <w:lang w:val="en-US" w:eastAsia="zh-CN" w:bidi="ar-S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  <w:t>2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(25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</w:rPr>
        <w:t>测量</w:t>
      </w:r>
      <w:r>
        <w:rPr>
          <w:rFonts w:ascii="楷体_GB2312" w:hAnsi="楷体_GB2312" w:eastAsia="楷体_GB2312"/>
          <w:b/>
          <w:bCs/>
          <w:sz w:val="28"/>
          <w:szCs w:val="28"/>
        </w:rPr>
        <w:t>不同光强</w:t>
      </w:r>
      <w:r>
        <w:rPr>
          <w:rFonts w:ascii="楷体_GB2312" w:hAnsi="楷体_GB2312" w:eastAsia="楷体_GB2312"/>
          <w:sz w:val="28"/>
          <w:szCs w:val="28"/>
        </w:rPr>
        <w:t>下光电管的伏安特性（滤光片波长为</w:t>
      </w:r>
      <w:r>
        <w:rPr>
          <w:rFonts w:cs="宋体" w:ascii="宋体" w:hAnsi="宋体"/>
          <w:b/>
          <w:sz w:val="28"/>
          <w:szCs w:val="28"/>
        </w:rPr>
        <w:t>546.0nm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rFonts w:eastAsia="宋体"/>
          <w:lang w:eastAsia="zh-CN"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（红色曲线）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6"/>
        <w:gridCol w:w="647"/>
        <w:gridCol w:w="647"/>
        <w:gridCol w:w="649"/>
        <w:gridCol w:w="647"/>
        <w:gridCol w:w="647"/>
        <w:gridCol w:w="649"/>
        <w:gridCol w:w="678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{{blank_03_22}}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/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2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（蓝色曲线）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5"/>
        <w:gridCol w:w="647"/>
        <w:gridCol w:w="647"/>
        <w:gridCol w:w="649"/>
        <w:gridCol w:w="647"/>
        <w:gridCol w:w="647"/>
        <w:gridCol w:w="649"/>
        <w:gridCol w:w="679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{{blank_04_03}}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{{blank_04_10}}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{{blank_04_14}}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{{blank_04_21}}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{{blank_04_22}}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ind w:firstLine="240"/>
        <w:rPr/>
      </w:pPr>
      <w:r>
        <w:rPr>
          <w:sz w:val="24"/>
          <w:szCs w:val="24"/>
          <w:lang w:val="en-US" w:eastAsia="zh-CN"/>
        </w:rPr>
        <w:t>3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（黑色曲线）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6"/>
        <w:gridCol w:w="647"/>
        <w:gridCol w:w="647"/>
        <w:gridCol w:w="649"/>
        <w:gridCol w:w="647"/>
        <w:gridCol w:w="647"/>
        <w:gridCol w:w="649"/>
        <w:gridCol w:w="678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{{blank_05_22}}</w:t>
            </w:r>
          </w:p>
        </w:tc>
      </w:tr>
    </w:tbl>
    <w:p>
      <w:pPr>
        <w:pStyle w:val="Normal"/>
        <w:snapToGrid w:val="false"/>
        <w:spacing w:lineRule="auto" w:line="360" w:beforeAutospacing="1" w:afterAutospacing="1"/>
        <w:jc w:val="left"/>
        <w:rPr/>
      </w:pPr>
      <w:r>
        <w:rPr>
          <w:rFonts w:ascii="宋体" w:hAnsi="宋体" w:cs="宋体"/>
          <w:sz w:val="24"/>
          <w:szCs w:val="24"/>
        </w:rPr>
        <w:t>描绘以上三种</w:t>
      </w:r>
      <w:r>
        <w:rPr>
          <w:rFonts w:ascii="宋体" w:hAnsi="宋体" w:cs="宋体"/>
          <w:sz w:val="28"/>
          <w:szCs w:val="28"/>
        </w:rPr>
        <w:t>光强所对应的</w:t>
      </w:r>
      <w:r>
        <w:rPr>
          <w:rFonts w:ascii="宋体" w:hAnsi="宋体" w:cs="宋体"/>
          <w:sz w:val="24"/>
          <w:szCs w:val="24"/>
        </w:rPr>
        <w:t>伏安特性曲线</w:t>
      </w:r>
      <w:r>
        <w:rPr>
          <w:rFonts w:ascii="宋体" w:hAnsi="宋体" w:cs="宋体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"/>
        <w:spacing w:lineRule="auto" w:line="360"/>
        <w:ind w:left="-44" w:firstLine="5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lang w:val="en-US" w:eastAsia="zh-CN"/>
        </w:rPr>
      </w:pPr>
      <w:hyperlink r:id="rId7">
        <w:r>
          <w:rPr>
            <w:rFonts w:eastAsia="楷体_GB2312" w:ascii="楷体_GB2312" w:hAnsi="楷体_GB2312"/>
            <w:b/>
            <w:sz w:val="28"/>
            <w:szCs w:val="28"/>
          </w:rPr>
        </w:r>
      </w:hyperlink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  <w:t>{{@localPicture2}}</w:t>
      </w:r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  <w:t>{{@localPicture3}}</w:t>
      </w:r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b/>
          <w:b/>
          <w:color w:val="000000"/>
          <w:sz w:val="28"/>
          <w:szCs w:val="28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  <w:t>{{@localPicture4}}</w: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楷体_GB2312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2"/>
      <w:sz w:val="21"/>
      <w:szCs w:val="22"/>
      <w:lang w:val="en-US" w:eastAsia="zh-CN" w:bidi="ar-SA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mailto:{{@localPicture2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118</TotalTime>
  <Application>LibreOffice/6.0.3.2$Linux_X86_64 LibreOffice_project/00m0$Build-2</Application>
  <Pages>6</Pages>
  <Words>1033</Words>
  <Characters>2403</Characters>
  <CharactersWithSpaces>2478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2018-09-06T09:57:00Z</dcterms:created>
  <dc:creator>zhigang</dc:creator>
  <dc:description/>
  <dc:language>zh-CN</dc:language>
  <cp:lastModifiedBy/>
  <dcterms:modified xsi:type="dcterms:W3CDTF">2018-09-17T21:40:25Z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