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5D8F"/>
          <w:sz w:val="52"/>
        </w:rPr>
        <w:t>宁智网维 · 城域网 AI 运维中枢</w:t>
      </w:r>
    </w:p>
    <w:p>
      <w:pPr>
        <w:jc w:val="center"/>
      </w:pPr>
      <w:r>
        <w:rPr>
          <w:b/>
          <w:sz w:val="40"/>
        </w:rPr>
        <w:t>AIOps 项目设计说明与使用说明</w:t>
      </w:r>
    </w:p>
    <w:p>
      <w:pPr>
        <w:jc w:val="center"/>
      </w:pPr>
      <w:r>
        <w:rPr>
          <w:color w:val="506478"/>
          <w:sz w:val="26"/>
        </w:rPr>
        <w:t>江苏有线南京分公司｜城域网智能运维分析演示系统</w:t>
      </w:r>
    </w:p>
    <w:p>
      <w:pPr>
        <w:jc w:val="center"/>
      </w:pPr>
      <w:r>
        <w:t>版本：V1.0</w:t>
      </w:r>
    </w:p>
    <w:p>
      <w:pPr>
        <w:jc w:val="center"/>
      </w:pPr>
      <w:r>
        <w:t>日期：2026-05-20</w:t>
      </w:r>
    </w:p>
    <w:p>
      <w:pPr>
        <w:jc w:val="center"/>
      </w:pPr>
      <w:r>
        <w:t>代码仓库：NJCATV/AIOps</w:t>
      </w:r>
    </w:p>
    <w:p>
      <w:pPr>
        <w:jc w:val="center"/>
      </w:pPr>
      <w:r>
        <w:t>部署位置：/opt/jscn-aiops，数据目录：/data/jscn-aiops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112"/>
            <w:vAlign w:val="center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>
              <w:t>系统名称</w:t>
            </w:r>
          </w:p>
        </w:tc>
        <w:tc>
          <w:tcPr>
            <w:tcW w:type="dxa" w:w="5112"/>
            <w:vAlign w:val="center"/>
          </w:tcPr>
          <w:p>
            <w:r>
              <w:t>宁智网维 · 城域网 AI 运维中枢</w:t>
            </w:r>
          </w:p>
        </w:tc>
      </w:tr>
      <w:tr>
        <w:tc>
          <w:tcPr>
            <w:tcW w:type="dxa" w:w="5112"/>
            <w:vAlign w:val="center"/>
          </w:tcPr>
          <w:p>
            <w:r>
              <w:t>建设单位</w:t>
            </w:r>
          </w:p>
        </w:tc>
        <w:tc>
          <w:tcPr>
            <w:tcW w:type="dxa" w:w="5112"/>
            <w:vAlign w:val="center"/>
          </w:tcPr>
          <w:p>
            <w:r>
              <w:t>江苏有线南京分公司</w:t>
            </w:r>
          </w:p>
        </w:tc>
      </w:tr>
      <w:tr>
        <w:tc>
          <w:tcPr>
            <w:tcW w:type="dxa" w:w="5112"/>
            <w:vAlign w:val="center"/>
          </w:tcPr>
          <w:p>
            <w:r>
              <w:t>项目定位</w:t>
            </w:r>
          </w:p>
        </w:tc>
        <w:tc>
          <w:tcPr>
            <w:tcW w:type="dxa" w:w="5112"/>
            <w:vAlign w:val="center"/>
          </w:tcPr>
          <w:p>
            <w:r>
              <w:t>面向城域网的 AIOps 智能分析、故障研判、规则降噪和演示展示系统</w:t>
            </w:r>
          </w:p>
        </w:tc>
      </w:tr>
      <w:tr>
        <w:tc>
          <w:tcPr>
            <w:tcW w:type="dxa" w:w="5112"/>
            <w:vAlign w:val="center"/>
          </w:tcPr>
          <w:p>
            <w:r>
              <w:t>当前形态</w:t>
            </w:r>
          </w:p>
        </w:tc>
        <w:tc>
          <w:tcPr>
            <w:tcW w:type="dxa" w:w="5112"/>
            <w:vAlign w:val="center"/>
          </w:tcPr>
          <w:p>
            <w:r>
              <w:t>单机 Docker Compose 部署，具备后续迁移到多节点架构的配置边界</w:t>
            </w:r>
          </w:p>
        </w:tc>
      </w:tr>
      <w:tr>
        <w:tc>
          <w:tcPr>
            <w:tcW w:type="dxa" w:w="5112"/>
            <w:vAlign w:val="center"/>
          </w:tcPr>
          <w:p>
            <w:r>
              <w:t>主要用户</w:t>
            </w:r>
          </w:p>
        </w:tc>
        <w:tc>
          <w:tcPr>
            <w:tcW w:type="dxa" w:w="5112"/>
            <w:vAlign w:val="center"/>
          </w:tcPr>
          <w:p>
            <w:r>
              <w:t>网管值班人员、网络维护工程师、运维主管、系统管理员</w:t>
            </w:r>
          </w:p>
        </w:tc>
      </w:tr>
      <w:tr>
        <w:tc>
          <w:tcPr>
            <w:tcW w:type="dxa" w:w="5112"/>
            <w:vAlign w:val="center"/>
          </w:tcPr>
          <w:p>
            <w:r>
              <w:t>文档范围</w:t>
            </w:r>
          </w:p>
        </w:tc>
        <w:tc>
          <w:tcPr>
            <w:tcW w:type="dxa" w:w="5112"/>
            <w:vAlign w:val="center"/>
          </w:tcPr>
          <w:p>
            <w:r>
              <w:t>系统设计、数据流、AI分析流程、规则功能、部署配置、页面使用和运维检查</w:t>
            </w:r>
          </w:p>
        </w:tc>
      </w:tr>
    </w:tbl>
    <w:p>
      <w:pPr>
        <w:pStyle w:val="Heading1"/>
      </w:pPr>
      <w:r>
        <w:t>1. 项目概述</w:t>
      </w:r>
    </w:p>
    <w:p>
      <w:r>
        <w:t>宁智网维 · 城域网 AI 运维中枢是面向江苏有线南京分公司城域网运维场景建设的 AIOps 演示与实用系统。系统接入城域网设备上报的 Syslog 与 SNMP Trap，完成原始数据留存、结构化解析、事件聚合、AI辅助研判、自然语言规则降噪和可视化展示。</w:t>
      </w:r>
    </w:p>
    <w:p>
      <w:r>
        <w:t>系统当前重点解决三个问题：一是海量日志与 Trap 中的重点风险识别；二是通过受控工具链为 AI 提供证据，避免模型凭空判断；三是让值班人员能够把经验规则写成自然语言，并在后续分析中被解释、审计和安全应用。</w:t>
      </w:r>
    </w:p>
    <w:p>
      <w:pPr>
        <w:pStyle w:val="Heading2"/>
      </w:pPr>
      <w:r>
        <w:t>1.1 建设目标</w:t>
      </w:r>
    </w:p>
    <w:p>
      <w:pPr>
        <w:pStyle w:val="ListBullet"/>
      </w:pPr>
      <w:r>
        <w:t>统一接入 Syslog、SNMP Trap 和聚合告警事件，形成可追溯的数据底座。</w:t>
      </w:r>
    </w:p>
    <w:p>
      <w:pPr>
        <w:pStyle w:val="ListBullet"/>
      </w:pPr>
      <w:r>
        <w:t>对 4 小时、12 小时、24 小时等时间窗口生成 AI 分析结果。</w:t>
      </w:r>
    </w:p>
    <w:p>
      <w:pPr>
        <w:pStyle w:val="ListBullet"/>
      </w:pPr>
      <w:r>
        <w:t>提供对外演示型 AI 分析结果页，突出系统状态、核心风险和 AI 运维能力。</w:t>
      </w:r>
    </w:p>
    <w:p>
      <w:pPr>
        <w:pStyle w:val="ListBullet"/>
      </w:pPr>
      <w:r>
        <w:t>支持 AI 分析规则：用户输入自然语言，系统调用大模型解析成结构化规则，经后端校验后保存。</w:t>
      </w:r>
    </w:p>
    <w:p>
      <w:pPr>
        <w:pStyle w:val="ListBullet"/>
      </w:pPr>
      <w:r>
        <w:t>默认优先使用内网大模型服务；内网异常时自动 fallback 到公网模型。</w:t>
      </w:r>
    </w:p>
    <w:p>
      <w:pPr>
        <w:pStyle w:val="ListBullet"/>
      </w:pPr>
      <w:r>
        <w:t>保留原始规则、AI解析结果、命中次数和安全例外，支持审计与回滚。</w:t>
      </w:r>
    </w:p>
    <w:p>
      <w:pPr>
        <w:pStyle w:val="Heading1"/>
      </w:pPr>
      <w:r>
        <w:t>2. 总体架构</w:t>
      </w:r>
    </w:p>
    <w:p>
      <w:r>
        <w:t>系统采用“数据接入层、存储层、事件聚合层、AI分析层、Web展示层”的分层架构。高频日志和事件数据存入 Elasticsearch，用户、任务、AI运行记录、发现项、规则和审计信息存入 MySQL。AI 不直接访问数据库，而是通过后端受控工具获取证据。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096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ops_architecture_202605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宁智网维 AIOps 总体架构图</w:t>
      </w:r>
    </w:p>
    <w:p>
      <w:pPr>
        <w:pStyle w:val="Heading2"/>
      </w:pPr>
      <w:r>
        <w:t>2.1 分层说明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rPr>
                <w:b/>
                <w:color w:val="FFFFFF"/>
              </w:rPr>
              <w:t>组件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3408"/>
            <w:vAlign w:val="center"/>
          </w:tcPr>
          <w:p>
            <w:r>
              <w:t>数据接入层</w:t>
            </w:r>
          </w:p>
        </w:tc>
        <w:tc>
          <w:tcPr>
            <w:tcW w:type="dxa" w:w="3408"/>
            <w:vAlign w:val="center"/>
          </w:tcPr>
          <w:p>
            <w:r>
              <w:t>Logstash Syslog / Trap Pipeline</w:t>
            </w:r>
          </w:p>
        </w:tc>
        <w:tc>
          <w:tcPr>
            <w:tcW w:type="dxa" w:w="3408"/>
            <w:vAlign w:val="center"/>
          </w:tcPr>
          <w:p>
            <w:r>
              <w:t>监听 UDP 10087/10086，接收设备 Syslog 和 Trap，完成基础解析并写入 ES。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数据存储层</w:t>
            </w:r>
          </w:p>
        </w:tc>
        <w:tc>
          <w:tcPr>
            <w:tcW w:type="dxa" w:w="3408"/>
            <w:vAlign w:val="center"/>
          </w:tcPr>
          <w:p>
            <w:r>
              <w:t>Elasticsearch</w:t>
            </w:r>
          </w:p>
        </w:tc>
        <w:tc>
          <w:tcPr>
            <w:tcW w:type="dxa" w:w="3408"/>
            <w:vAlign w:val="center"/>
          </w:tcPr>
          <w:p>
            <w:r>
              <w:t>保存 syslog raw、syslog parsed、trap raw、alarm events 等高频时序数据。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元数据层</w:t>
            </w:r>
          </w:p>
        </w:tc>
        <w:tc>
          <w:tcPr>
            <w:tcW w:type="dxa" w:w="3408"/>
            <w:vAlign w:val="center"/>
          </w:tcPr>
          <w:p>
            <w:r>
              <w:t>MySQL</w:t>
            </w:r>
          </w:p>
        </w:tc>
        <w:tc>
          <w:tcPr>
            <w:tcW w:type="dxa" w:w="3408"/>
            <w:vAlign w:val="center"/>
          </w:tcPr>
          <w:p>
            <w:r>
              <w:t>保存用户、任务、AI运行记录、发现项、反馈、AI规则、命中记录、审计日志。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事件聚合层</w:t>
            </w:r>
          </w:p>
        </w:tc>
        <w:tc>
          <w:tcPr>
            <w:tcW w:type="dxa" w:w="3408"/>
            <w:vAlign w:val="center"/>
          </w:tcPr>
          <w:p>
            <w:r>
              <w:t>aiops-event-worker</w:t>
            </w:r>
          </w:p>
        </w:tc>
        <w:tc>
          <w:tcPr>
            <w:tcW w:type="dxa" w:w="3408"/>
            <w:vAlign w:val="center"/>
          </w:tcPr>
          <w:p>
            <w:r>
              <w:t>持续读取 parsed Syslog，聚合成 alarm_events，形成分析候选。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AI分析层</w:t>
            </w:r>
          </w:p>
        </w:tc>
        <w:tc>
          <w:tcPr>
            <w:tcW w:type="dxa" w:w="3408"/>
            <w:vAlign w:val="center"/>
          </w:tcPr>
          <w:p>
            <w:r>
              <w:t>aiops-api / aiops-scheduler / light_agent</w:t>
            </w:r>
          </w:p>
        </w:tc>
        <w:tc>
          <w:tcPr>
            <w:tcW w:type="dxa" w:w="3408"/>
            <w:vAlign w:val="center"/>
          </w:tcPr>
          <w:p>
            <w:r>
              <w:t>构建窗口摘要、调用受控工具、请求 LLM、保存结构化结果。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模型调用层</w:t>
            </w:r>
          </w:p>
        </w:tc>
        <w:tc>
          <w:tcPr>
            <w:tcW w:type="dxa" w:w="3408"/>
            <w:vAlign w:val="center"/>
          </w:tcPr>
          <w:p>
            <w:r>
              <w:t>aiops.llm.client</w:t>
            </w:r>
          </w:p>
        </w:tc>
        <w:tc>
          <w:tcPr>
            <w:tcW w:type="dxa" w:w="3408"/>
            <w:vAlign w:val="center"/>
          </w:tcPr>
          <w:p>
            <w:r>
              <w:t>统一封装内网模型优先、公网 fallback、超时、健康检查和脱敏日志。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展示层</w:t>
            </w:r>
          </w:p>
        </w:tc>
        <w:tc>
          <w:tcPr>
            <w:tcW w:type="dxa" w:w="3408"/>
            <w:vAlign w:val="center"/>
          </w:tcPr>
          <w:p>
            <w:r>
              <w:t>Vue + Nginx</w:t>
            </w:r>
          </w:p>
        </w:tc>
        <w:tc>
          <w:tcPr>
            <w:tcW w:type="dxa" w:w="3408"/>
            <w:vAlign w:val="center"/>
          </w:tcPr>
          <w:p>
            <w:r>
              <w:t>提供实时事件、AI分析结果、规则管理、历史、任务和系统管理页面。</w:t>
            </w:r>
          </w:p>
        </w:tc>
      </w:tr>
    </w:tbl>
    <w:p>
      <w:pPr>
        <w:pStyle w:val="Heading1"/>
      </w:pPr>
      <w:r>
        <w:t>3. 核心数据流</w:t>
      </w:r>
    </w:p>
    <w:p>
      <w:pPr>
        <w:pStyle w:val="ListNumber"/>
      </w:pPr>
      <w:r>
        <w:t>城域网设备将 Syslog 发送到 UDP 10087，将 SNMP Trap 发送到 UDP 10086。</w:t>
      </w:r>
    </w:p>
    <w:p>
      <w:pPr>
        <w:pStyle w:val="ListNumber"/>
      </w:pPr>
      <w:r>
        <w:t>Logstash 接收并解析数据，原始数据写入 raw 索引，结构化 Syslog 写入 parsed 索引。</w:t>
      </w:r>
    </w:p>
    <w:p>
      <w:pPr>
        <w:pStyle w:val="ListNumber"/>
      </w:pPr>
      <w:r>
        <w:t>event-worker 周期性读取 parsed Syslog，按设备、对象、事件类型、恢复状态等维度生成 alarm_events。</w:t>
      </w:r>
    </w:p>
    <w:p>
      <w:pPr>
        <w:pStyle w:val="ListNumber"/>
      </w:pPr>
      <w:r>
        <w:t>AI分析任务读取当前窗口 summary，并根据候选事件调用受控调查工具补充证据。</w:t>
      </w:r>
    </w:p>
    <w:p>
      <w:pPr>
        <w:pStyle w:val="ListNumber"/>
      </w:pPr>
      <w:r>
        <w:t>AI Agent 基于 summary 与工具结果生成结构化 JSON。</w:t>
      </w:r>
    </w:p>
    <w:p>
      <w:pPr>
        <w:pStyle w:val="ListNumber"/>
      </w:pPr>
      <w:r>
        <w:t>后端保存 AI运行记录、发现项和报告文件，前端展示为 AI分析结果页。</w:t>
      </w:r>
    </w:p>
    <w:p>
      <w:pPr>
        <w:pStyle w:val="ListNumber"/>
      </w:pPr>
      <w:r>
        <w:t>用户创建 AI分析规则后，后端调用 LLM 解析规则并做安全校验，后续分析前将规则用于评分、降噪和报告说明。</w:t>
      </w:r>
    </w:p>
    <w:p>
      <w:pPr>
        <w:pStyle w:val="Heading1"/>
      </w:pPr>
      <w:r>
        <w:t>4. AI分析流程设计</w:t>
      </w:r>
    </w:p>
    <w:p>
      <w:r>
        <w:t>AI分析采用轻量 Agent 流程。系统先由后端构建 compact summary，再将 summary 与受控工具 schema 交给模型。模型只能请求工具名和参数，不能直接访问 Elasticsearch 或 MySQL，也不能执行自由 SQL/DSL。</w:t>
      </w:r>
    </w:p>
    <w:p>
      <w:pPr>
        <w:pStyle w:val="Heading2"/>
      </w:pPr>
      <w:r>
        <w:t>4.1 以 12 小时窗口为例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r>
              <w:rPr>
                <w:b/>
                <w:color w:val="FFFFFF"/>
              </w:rPr>
              <w:t>步骤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b/>
                <w:color w:val="FFFFFF"/>
              </w:rPr>
              <w:t>系统动作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b/>
                <w:color w:val="FFFFFF"/>
              </w:rPr>
              <w:t>中间产物/输出</w:t>
            </w:r>
          </w:p>
        </w:tc>
        <w:tc>
          <w:tcPr>
            <w:tcW w:type="dxa" w:w="2556"/>
            <w:vAlign w:val="center"/>
            <w:shd w:fill="1F4E79"/>
          </w:tcPr>
          <w:p>
            <w:r>
              <w:rPr>
                <w:b/>
                <w:color w:val="FFFFFF"/>
              </w:rPr>
              <w:t>交互对象</w:t>
            </w:r>
          </w:p>
        </w:tc>
      </w:tr>
      <w:tr>
        <w:tc>
          <w:tcPr>
            <w:tcW w:type="dxa" w:w="2556"/>
            <w:vAlign w:val="center"/>
          </w:tcPr>
          <w:p>
            <w:r>
              <w:t>1</w:t>
            </w:r>
          </w:p>
        </w:tc>
        <w:tc>
          <w:tcPr>
            <w:tcW w:type="dxa" w:w="2556"/>
            <w:vAlign w:val="center"/>
          </w:tcPr>
          <w:p>
            <w:r>
              <w:t>确定分析窗口，例如最近 12 小时。</w:t>
            </w:r>
          </w:p>
        </w:tc>
        <w:tc>
          <w:tcPr>
            <w:tcW w:type="dxa" w:w="2556"/>
            <w:vAlign w:val="center"/>
          </w:tcPr>
          <w:p>
            <w:r>
              <w:t>window_start、window_end、hours=12。</w:t>
            </w:r>
          </w:p>
        </w:tc>
        <w:tc>
          <w:tcPr>
            <w:tcW w:type="dxa" w:w="2556"/>
            <w:vAlign w:val="center"/>
          </w:tcPr>
          <w:p>
            <w:r>
              <w:t>前端手动触发或 scheduler 定时触发。</w:t>
            </w:r>
          </w:p>
        </w:tc>
      </w:tr>
      <w:tr>
        <w:tc>
          <w:tcPr>
            <w:tcW w:type="dxa" w:w="2556"/>
            <w:vAlign w:val="center"/>
          </w:tcPr>
          <w:p>
            <w:r>
              <w:t>2</w:t>
            </w:r>
          </w:p>
        </w:tc>
        <w:tc>
          <w:tcPr>
            <w:tcW w:type="dxa" w:w="2556"/>
            <w:vAlign w:val="center"/>
          </w:tcPr>
          <w:p>
            <w:r>
              <w:t>读取 ES 中的 syslog、trap、alarm_events，生成窗口摘要。</w:t>
            </w:r>
          </w:p>
        </w:tc>
        <w:tc>
          <w:tcPr>
            <w:tcW w:type="dxa" w:w="2556"/>
            <w:vAlign w:val="center"/>
          </w:tcPr>
          <w:p>
            <w:r>
              <w:t>current_window_summary JSON。</w:t>
            </w:r>
          </w:p>
        </w:tc>
        <w:tc>
          <w:tcPr>
            <w:tcW w:type="dxa" w:w="2556"/>
            <w:vAlign w:val="center"/>
          </w:tcPr>
          <w:p>
            <w:r>
              <w:t>后端 summary builder。</w:t>
            </w:r>
          </w:p>
        </w:tc>
      </w:tr>
      <w:tr>
        <w:tc>
          <w:tcPr>
            <w:tcW w:type="dxa" w:w="2556"/>
            <w:vAlign w:val="center"/>
          </w:tcPr>
          <w:p>
            <w:r>
              <w:t>3</w:t>
            </w:r>
          </w:p>
        </w:tc>
        <w:tc>
          <w:tcPr>
            <w:tcW w:type="dxa" w:w="2556"/>
            <w:vAlign w:val="center"/>
          </w:tcPr>
          <w:p>
            <w:r>
              <w:t>加载 enabled=true 的 AI分析规则。</w:t>
            </w:r>
          </w:p>
        </w:tc>
        <w:tc>
          <w:tcPr>
            <w:tcW w:type="dxa" w:w="2556"/>
            <w:vAlign w:val="center"/>
          </w:tcPr>
          <w:p>
            <w:r>
              <w:t>规则列表、结构化 parsed_rule、安全例外配置。</w:t>
            </w:r>
          </w:p>
        </w:tc>
        <w:tc>
          <w:tcPr>
            <w:tcW w:type="dxa" w:w="2556"/>
            <w:vAlign w:val="center"/>
          </w:tcPr>
          <w:p>
            <w:r>
              <w:t>MySQL ai_analysis_rules。</w:t>
            </w:r>
          </w:p>
        </w:tc>
      </w:tr>
      <w:tr>
        <w:tc>
          <w:tcPr>
            <w:tcW w:type="dxa" w:w="2556"/>
            <w:vAlign w:val="center"/>
          </w:tcPr>
          <w:p>
            <w:r>
              <w:t>4</w:t>
            </w:r>
          </w:p>
        </w:tc>
        <w:tc>
          <w:tcPr>
            <w:tcW w:type="dxa" w:w="2556"/>
            <w:vAlign w:val="center"/>
          </w:tcPr>
          <w:p>
            <w:r>
              <w:t>对候选事件做规则预处理。</w:t>
            </w:r>
          </w:p>
        </w:tc>
        <w:tc>
          <w:tcPr>
            <w:tcW w:type="dxa" w:w="2556"/>
            <w:vAlign w:val="center"/>
          </w:tcPr>
          <w:p>
            <w:r>
              <w:t>score 调整、rule_hit 标记、suppressed 标记、安全例外标记。</w:t>
            </w:r>
          </w:p>
        </w:tc>
        <w:tc>
          <w:tcPr>
            <w:tcW w:type="dxa" w:w="2556"/>
            <w:vAlign w:val="center"/>
          </w:tcPr>
          <w:p>
            <w:r>
              <w:t>规则引擎。</w:t>
            </w:r>
          </w:p>
        </w:tc>
      </w:tr>
      <w:tr>
        <w:tc>
          <w:tcPr>
            <w:tcW w:type="dxa" w:w="2556"/>
            <w:vAlign w:val="center"/>
          </w:tcPr>
          <w:p>
            <w:r>
              <w:t>5</w:t>
            </w:r>
          </w:p>
        </w:tc>
        <w:tc>
          <w:tcPr>
            <w:tcW w:type="dxa" w:w="2556"/>
            <w:vAlign w:val="center"/>
          </w:tcPr>
          <w:p>
            <w:r>
              <w:t>第一次 LLM 调用。</w:t>
            </w:r>
          </w:p>
        </w:tc>
        <w:tc>
          <w:tcPr>
            <w:tcW w:type="dxa" w:w="2556"/>
            <w:vAlign w:val="center"/>
          </w:tcPr>
          <w:p>
            <w:r>
              <w:t>模型判断是否需要工具；常见返回 tool_calls。</w:t>
            </w:r>
          </w:p>
        </w:tc>
        <w:tc>
          <w:tcPr>
            <w:tcW w:type="dxa" w:w="2556"/>
            <w:vAlign w:val="center"/>
          </w:tcPr>
          <w:p>
            <w:r>
              <w:t>统一 LLM 客户端，优先内网模型。</w:t>
            </w:r>
          </w:p>
        </w:tc>
      </w:tr>
      <w:tr>
        <w:tc>
          <w:tcPr>
            <w:tcW w:type="dxa" w:w="2556"/>
            <w:vAlign w:val="center"/>
          </w:tcPr>
          <w:p>
            <w:r>
              <w:t>6</w:t>
            </w:r>
          </w:p>
        </w:tc>
        <w:tc>
          <w:tcPr>
            <w:tcW w:type="dxa" w:w="2556"/>
            <w:vAlign w:val="center"/>
          </w:tcPr>
          <w:p>
            <w:r>
              <w:t>执行受控工具取证。</w:t>
            </w:r>
          </w:p>
        </w:tc>
        <w:tc>
          <w:tcPr>
            <w:tcW w:type="dxa" w:w="2556"/>
            <w:vAlign w:val="center"/>
          </w:tcPr>
          <w:p>
            <w:r>
              <w:t>investigate_candidates / get_related_events / get_device_history / get_topology_context 等工具结果。</w:t>
            </w:r>
          </w:p>
        </w:tc>
        <w:tc>
          <w:tcPr>
            <w:tcW w:type="dxa" w:w="2556"/>
            <w:vAlign w:val="center"/>
          </w:tcPr>
          <w:p>
            <w:r>
              <w:t>后端工具层访问 ES。</w:t>
            </w:r>
          </w:p>
        </w:tc>
      </w:tr>
      <w:tr>
        <w:tc>
          <w:tcPr>
            <w:tcW w:type="dxa" w:w="2556"/>
            <w:vAlign w:val="center"/>
          </w:tcPr>
          <w:p>
            <w:r>
              <w:t>7</w:t>
            </w:r>
          </w:p>
        </w:tc>
        <w:tc>
          <w:tcPr>
            <w:tcW w:type="dxa" w:w="2556"/>
            <w:vAlign w:val="center"/>
          </w:tcPr>
          <w:p>
            <w:r>
              <w:t>第二次或后续 LLM 调用。</w:t>
            </w:r>
          </w:p>
        </w:tc>
        <w:tc>
          <w:tcPr>
            <w:tcW w:type="dxa" w:w="2556"/>
            <w:vAlign w:val="center"/>
          </w:tcPr>
          <w:p>
            <w:r>
              <w:t>结构化 AI分析 JSON。</w:t>
            </w:r>
          </w:p>
        </w:tc>
        <w:tc>
          <w:tcPr>
            <w:tcW w:type="dxa" w:w="2556"/>
            <w:vAlign w:val="center"/>
          </w:tcPr>
          <w:p>
            <w:r>
              <w:t>LLM + 后端 JSON 校验。</w:t>
            </w:r>
          </w:p>
        </w:tc>
      </w:tr>
      <w:tr>
        <w:tc>
          <w:tcPr>
            <w:tcW w:type="dxa" w:w="2556"/>
            <w:vAlign w:val="center"/>
          </w:tcPr>
          <w:p>
            <w:r>
              <w:t>8</w:t>
            </w:r>
          </w:p>
        </w:tc>
        <w:tc>
          <w:tcPr>
            <w:tcW w:type="dxa" w:w="2556"/>
            <w:vAlign w:val="center"/>
          </w:tcPr>
          <w:p>
            <w:r>
              <w:t>持久化结果。</w:t>
            </w:r>
          </w:p>
        </w:tc>
        <w:tc>
          <w:tcPr>
            <w:tcW w:type="dxa" w:w="2556"/>
            <w:vAlign w:val="center"/>
          </w:tcPr>
          <w:p>
            <w:r>
              <w:t>ai_analysis_runs、ai_findings、报告 JSON/Markdown、trajectory。</w:t>
            </w:r>
          </w:p>
        </w:tc>
        <w:tc>
          <w:tcPr>
            <w:tcW w:type="dxa" w:w="2556"/>
            <w:vAlign w:val="center"/>
          </w:tcPr>
          <w:p>
            <w:r>
              <w:t>MySQL + /data/jscn-aiops/reports。</w:t>
            </w:r>
          </w:p>
        </w:tc>
      </w:tr>
      <w:tr>
        <w:tc>
          <w:tcPr>
            <w:tcW w:type="dxa" w:w="2556"/>
            <w:vAlign w:val="center"/>
          </w:tcPr>
          <w:p>
            <w:r>
              <w:t>9</w:t>
            </w:r>
          </w:p>
        </w:tc>
        <w:tc>
          <w:tcPr>
            <w:tcW w:type="dxa" w:w="2556"/>
            <w:vAlign w:val="center"/>
          </w:tcPr>
          <w:p>
            <w:r>
              <w:t>前端展示。</w:t>
            </w:r>
          </w:p>
        </w:tc>
        <w:tc>
          <w:tcPr>
            <w:tcW w:type="dxa" w:w="2556"/>
            <w:vAlign w:val="center"/>
          </w:tcPr>
          <w:p>
            <w:r>
              <w:t>AI分析结果页：系统状态、AI结论、Tabs、右侧摘要、导出 Markdown。</w:t>
            </w:r>
          </w:p>
        </w:tc>
        <w:tc>
          <w:tcPr>
            <w:tcW w:type="dxa" w:w="2556"/>
            <w:vAlign w:val="center"/>
          </w:tcPr>
          <w:p>
            <w:r>
              <w:t>Vue Web 控制台。</w:t>
            </w:r>
          </w:p>
        </w:tc>
      </w:tr>
    </w:tbl>
    <w:p>
      <w:pPr>
        <w:pStyle w:val="Heading2"/>
      </w:pPr>
      <w:r>
        <w:t>4.2 真实示例说明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>
              <w:rPr>
                <w:b/>
                <w:color w:val="FFFFFF"/>
              </w:rPr>
              <w:t>分类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rPr>
                <w:b/>
                <w:color w:val="FFFFFF"/>
              </w:rPr>
              <w:t>示例输出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>
              <w:t>必须处理</w:t>
            </w:r>
          </w:p>
        </w:tc>
        <w:tc>
          <w:tcPr>
            <w:tcW w:type="dxa" w:w="3408"/>
            <w:vAlign w:val="center"/>
          </w:tcPr>
          <w:p>
            <w:r>
              <w:t>CB-CR16K-M-A XGE12/0/3 光模块 OPTICAL_FAULT ErrorCode=600005 未恢复。</w:t>
            </w:r>
          </w:p>
        </w:tc>
        <w:tc>
          <w:tcPr>
            <w:tcW w:type="dxa" w:w="3408"/>
            <w:vAlign w:val="center"/>
          </w:tcPr>
          <w:p>
            <w:r>
              <w:t>持续 open，历史有自愈但本次超时未恢复，建议排查光功率和模块状态。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重点关注/关联分析</w:t>
            </w:r>
          </w:p>
        </w:tc>
        <w:tc>
          <w:tcPr>
            <w:tcW w:type="dxa" w:w="3408"/>
            <w:vAlign w:val="center"/>
          </w:tcPr>
          <w:p>
            <w:r>
              <w:t>CN16K-F-HeXinA 与 YGM-16K-M-A 多链路丢包告警与 BFD 联动。</w:t>
            </w:r>
          </w:p>
        </w:tc>
        <w:tc>
          <w:tcPr>
            <w:tcW w:type="dxa" w:w="3408"/>
            <w:vAlign w:val="center"/>
          </w:tcPr>
          <w:p>
            <w:r>
              <w:t>同窗口多链路质量波动，存在跨链路关联风险。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建议动作</w:t>
            </w:r>
          </w:p>
        </w:tc>
        <w:tc>
          <w:tcPr>
            <w:tcW w:type="dxa" w:w="3408"/>
            <w:vAlign w:val="center"/>
          </w:tcPr>
          <w:p>
            <w:r>
              <w:t>排查光模块状态并准备更换；检查链路丢包根因；修正规则降噪逻辑。</w:t>
            </w:r>
          </w:p>
        </w:tc>
        <w:tc>
          <w:tcPr>
            <w:tcW w:type="dxa" w:w="3408"/>
            <w:vAlign w:val="center"/>
          </w:tcPr>
          <w:p>
            <w:r>
              <w:t>建议动作可复制，也可作为工单描述。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规则与降噪</w:t>
            </w:r>
          </w:p>
        </w:tc>
        <w:tc>
          <w:tcPr>
            <w:tcW w:type="dxa" w:w="3408"/>
            <w:vAlign w:val="center"/>
          </w:tcPr>
          <w:p>
            <w:r>
              <w:t>RADIUS 忽略类规则若触发安全例外，仍输出说明。</w:t>
            </w:r>
          </w:p>
        </w:tc>
        <w:tc>
          <w:tcPr>
            <w:tcW w:type="dxa" w:w="3408"/>
            <w:vAlign w:val="center"/>
          </w:tcPr>
          <w:p>
            <w:r>
              <w:t>避免用户规则无条件屏蔽重大公共服务故障。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证据不足</w:t>
            </w:r>
          </w:p>
        </w:tc>
        <w:tc>
          <w:tcPr>
            <w:tcW w:type="dxa" w:w="3408"/>
            <w:vAlign w:val="center"/>
          </w:tcPr>
          <w:p>
            <w:r>
              <w:t>Trap OID 未翻译、MIB 缺失、拓扑上下文不足。</w:t>
            </w:r>
          </w:p>
        </w:tc>
        <w:tc>
          <w:tcPr>
            <w:tcW w:type="dxa" w:w="3408"/>
            <w:vAlign w:val="center"/>
          </w:tcPr>
          <w:p>
            <w:r>
              <w:t>明确告诉值班人员哪些数据还需要补充。</w:t>
            </w:r>
          </w:p>
        </w:tc>
      </w:tr>
    </w:tbl>
    <w:p>
      <w:pPr>
        <w:pStyle w:val="Heading1"/>
      </w:pPr>
      <w:r>
        <w:t>5. AI分析规则功能设计</w:t>
      </w:r>
    </w:p>
    <w:p>
      <w:r>
        <w:t>AI分析规则用于把值班经验变成可审计、可解释、可安全应用的规则。用户在页面输入自然语言后，系统先调用 LLM 解析为结构化 JSON，然后后端执行 validateAndNormalizeRule 做兜底修正和安全校验，用户确认后才保存启用。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5112"/>
            <w:vAlign w:val="center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>
              <w:t>raw_text</w:t>
            </w:r>
          </w:p>
        </w:tc>
        <w:tc>
          <w:tcPr>
            <w:tcW w:type="dxa" w:w="5112"/>
            <w:vAlign w:val="center"/>
          </w:tcPr>
          <w:p>
            <w:r>
              <w:t>用户原始输入，必须保留，便于审计和回滚。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rule_type</w:t>
            </w:r>
          </w:p>
        </w:tc>
        <w:tc>
          <w:tcPr>
            <w:tcW w:type="dxa" w:w="5112"/>
            <w:vAlign w:val="center"/>
          </w:tcPr>
          <w:p>
            <w:r>
              <w:t>attention、noise_reduction、threshold、report_preference、unknown。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action</w:t>
            </w:r>
          </w:p>
        </w:tc>
        <w:tc>
          <w:tcPr>
            <w:tcW w:type="dxa" w:w="5112"/>
            <w:vAlign w:val="center"/>
          </w:tcPr>
          <w:p>
            <w:r>
              <w:t>boost_priority、downgrade_or_suppress、threshold_control、format_control、unknown。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target_event_families</w:t>
            </w:r>
          </w:p>
        </w:tc>
        <w:tc>
          <w:tcPr>
            <w:tcW w:type="dxa" w:w="5112"/>
            <w:vAlign w:val="center"/>
          </w:tcPr>
          <w:p>
            <w:r>
              <w:t>事件族，例如 OPTICAL_FAULT、RADIUS_ACCOUNTING_FAILURE、BFD_SESSION_FLAP。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target_keywords / devices / objects</w:t>
            </w:r>
          </w:p>
        </w:tc>
        <w:tc>
          <w:tcPr>
            <w:tcW w:type="dxa" w:w="5112"/>
            <w:vAlign w:val="center"/>
          </w:tcPr>
          <w:p>
            <w:r>
              <w:t>关键词、设备、对象范围。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parsed_rule</w:t>
            </w:r>
          </w:p>
        </w:tc>
        <w:tc>
          <w:tcPr>
            <w:tcW w:type="dxa" w:w="5112"/>
            <w:vAlign w:val="center"/>
          </w:tcPr>
          <w:p>
            <w:r>
              <w:t>LLM解析结果和后端归一化结果。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priority</w:t>
            </w:r>
          </w:p>
        </w:tc>
        <w:tc>
          <w:tcPr>
            <w:tcW w:type="dxa" w:w="5112"/>
            <w:vAlign w:val="center"/>
          </w:tcPr>
          <w:p>
            <w:r>
              <w:t>规则优先级；降噪类 RADIUS 规则兜底为 30。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safety_exceptions</w:t>
            </w:r>
          </w:p>
        </w:tc>
        <w:tc>
          <w:tcPr>
            <w:tcW w:type="dxa" w:w="5112"/>
            <w:vAlign w:val="center"/>
          </w:tcPr>
          <w:p>
            <w:r>
              <w:t>降噪规则必须包含安全例外，避免屏蔽重大故障。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hit_count / last_hit_at</w:t>
            </w:r>
          </w:p>
        </w:tc>
        <w:tc>
          <w:tcPr>
            <w:tcW w:type="dxa" w:w="5112"/>
            <w:vAlign w:val="center"/>
          </w:tcPr>
          <w:p>
            <w:r>
              <w:t>命中次数和最近命中时间。</w:t>
            </w:r>
          </w:p>
        </w:tc>
      </w:tr>
    </w:tbl>
    <w:p>
      <w:pPr>
        <w:pStyle w:val="Heading2"/>
      </w:pPr>
      <w:r>
        <w:t>5.1 规则解析安全策略</w:t>
      </w:r>
    </w:p>
    <w:p>
      <w:pPr>
        <w:pStyle w:val="ListBullet"/>
      </w:pPr>
      <w:r>
        <w:t>“不管、不用管、忽略、忽视、不关注、不报、不提示、降噪、屏蔽、过滤、压低”等表达强制归为降噪类，除非出现反向表达。</w:t>
      </w:r>
    </w:p>
    <w:p>
      <w:pPr>
        <w:pStyle w:val="ListBullet"/>
      </w:pPr>
      <w:r>
        <w:t>降噪类规则必须自动补齐安全例外：多设备同源、持续未恢复超过 2 小时、严重等级、影响认证或计费核心服务。</w:t>
      </w:r>
    </w:p>
    <w:p>
      <w:pPr>
        <w:pStyle w:val="ListBullet"/>
      </w:pPr>
      <w:r>
        <w:t>RADIUS、光模块、BFD、丢包、PPP、Trap/MIB 等关键词会自动补齐目标事件族。</w:t>
      </w:r>
    </w:p>
    <w:p>
      <w:pPr>
        <w:pStyle w:val="ListBullet"/>
      </w:pPr>
      <w:r>
        <w:t>低置信度或 unknown 类型不允许直接启用，前端提示用户修改描述或人工确认。</w:t>
      </w:r>
    </w:p>
    <w:p>
      <w:pPr>
        <w:pStyle w:val="ListBullet"/>
      </w:pPr>
      <w:r>
        <w:t>规则命中后，报告中需要解释哪些结论受用户规则影响。</w:t>
      </w:r>
    </w:p>
    <w:p>
      <w:pPr>
        <w:pStyle w:val="Heading1"/>
      </w:pPr>
      <w:r>
        <w:t>6. 模型调用设计</w:t>
      </w:r>
    </w:p>
    <w:p>
      <w:r>
        <w:t>系统新增统一 LLM 客户端，所有 AI分析和规则解析都走同一入口。调用策略是：内网模型启用时优先调用内网 OpenAI-compatible API；内网不可用、超时、HTTP异常或返回异常时，自动 fallback 到公网模型。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5112"/>
            <w:vAlign w:val="center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INTERNAL_LLM_ENABLED</w:t>
            </w:r>
          </w:p>
        </w:tc>
        <w:tc>
          <w:tcPr>
            <w:tcW w:type="dxa" w:w="5112"/>
            <w:vAlign w:val="center"/>
          </w:tcPr>
          <w:p>
            <w:r>
              <w:t>是否启用内网模型。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INTERNAL_LLM_BASE_URL</w:t>
            </w:r>
          </w:p>
        </w:tc>
        <w:tc>
          <w:tcPr>
            <w:tcW w:type="dxa" w:w="5112"/>
            <w:vAlign w:val="center"/>
          </w:tcPr>
          <w:p>
            <w:r>
              <w:t>内网模型 OpenAI-compatible Base URL。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INTERNAL_LLM_MODEL</w:t>
            </w:r>
          </w:p>
        </w:tc>
        <w:tc>
          <w:tcPr>
            <w:tcW w:type="dxa" w:w="5112"/>
            <w:vAlign w:val="center"/>
          </w:tcPr>
          <w:p>
            <w:r>
              <w:t>内网模型名称，当前为 deepseek-v4-pro。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INTERNAL_LLM_API_KEY / INTERNAL_LLM_API_KEYS</w:t>
            </w:r>
          </w:p>
        </w:tc>
        <w:tc>
          <w:tcPr>
            <w:tcW w:type="dxa" w:w="5112"/>
            <w:vAlign w:val="center"/>
          </w:tcPr>
          <w:p>
            <w:r>
              <w:t>内网模型 Key，支持多个 Key 逗号分隔随机选择。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INTERNAL_LLM_TIMEOUT</w:t>
            </w:r>
          </w:p>
        </w:tc>
        <w:tc>
          <w:tcPr>
            <w:tcW w:type="dxa" w:w="5112"/>
            <w:vAlign w:val="center"/>
          </w:tcPr>
          <w:p>
            <w:r>
              <w:t>内网请求超时，默认 30 秒。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PUBLIC_LLM_ENABLED / PUBLIC_LLM_BASE_URL / PUBLIC_LLM_MODEL / PUBLIC_LLM_API_KEY</w:t>
            </w:r>
          </w:p>
        </w:tc>
        <w:tc>
          <w:tcPr>
            <w:tcW w:type="dxa" w:w="5112"/>
            <w:vAlign w:val="center"/>
          </w:tcPr>
          <w:p>
            <w:r>
              <w:t>公网 fallback 配置。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AI_RULE_LLM_ENABLED</w:t>
            </w:r>
          </w:p>
        </w:tc>
        <w:tc>
          <w:tcPr>
            <w:tcW w:type="dxa" w:w="5112"/>
            <w:vAlign w:val="center"/>
          </w:tcPr>
          <w:p>
            <w:r>
              <w:t>规则解析是否启用 LLM。</w:t>
            </w:r>
          </w:p>
        </w:tc>
      </w:tr>
    </w:tbl>
    <w:p>
      <w:r>
        <w:t>安全要求：API Key 不写入代码，不提交到 GitHub，不在日志中打印；日志只记录 provider、model、耗时和错误摘要。</w:t>
      </w:r>
    </w:p>
    <w:p>
      <w:pPr>
        <w:pStyle w:val="Heading1"/>
      </w:pPr>
      <w:r>
        <w:t>7. Web 页面使用说明</w:t>
      </w:r>
    </w:p>
    <w:p>
      <w:r>
        <w:t>访问地址：</w:t>
      </w:r>
    </w:p>
    <w:p>
      <w:pPr>
        <w:pStyle w:val="CodeBlock"/>
      </w:pPr>
      <w:r>
        <w:t>http://&lt;服务器IP&gt;:5772/</w:t>
      </w:r>
    </w:p>
    <w:p>
      <w:r>
        <w:t>当前页面定位为“江苏有线南京分公司城域网智能运维分析演示系统”。左侧菜单保留实时 Events、实时 Syslog、Trap 管理、AI分析结果、AI分析历史、AI分析规则、定时任务、简洁概览和系统管理等入口。</w:t>
      </w:r>
    </w:p>
    <w:p>
      <w:pPr>
        <w:pStyle w:val="Heading2"/>
      </w:pPr>
      <w:r>
        <w:t>7.1 登录</w:t>
      </w:r>
    </w:p>
    <w:p>
      <w:pPr>
        <w:pStyle w:val="ListNumber"/>
      </w:pPr>
      <w:r>
        <w:t>打开 Web 地址。</w:t>
      </w:r>
    </w:p>
    <w:p>
      <w:pPr>
        <w:pStyle w:val="ListNumber"/>
      </w:pPr>
      <w:r>
        <w:t>输入管理员或查看用户账号密码。</w:t>
      </w:r>
    </w:p>
    <w:p>
      <w:pPr>
        <w:pStyle w:val="ListNumber"/>
      </w:pPr>
      <w:r>
        <w:t>登录后进入 AI分析结果页或默认工作台。</w:t>
      </w:r>
    </w:p>
    <w:p>
      <w:pPr>
        <w:pStyle w:val="ListNumber"/>
      </w:pPr>
      <w:r>
        <w:t>登录页面不提供公开注册；用户由系统内用户管理功能维护。</w:t>
      </w:r>
    </w:p>
    <w:p>
      <w:pPr>
        <w:pStyle w:val="Heading2"/>
      </w:pPr>
      <w:r>
        <w:t>7.2 AI分析结果页</w:t>
      </w:r>
    </w:p>
    <w:p>
      <w:pPr>
        <w:pStyle w:val="ListBullet"/>
      </w:pPr>
      <w:r>
        <w:t>Hero 区只展示系统核心状态、AI总结标题、一句话 AI 提示和机器人助手。</w:t>
      </w:r>
    </w:p>
    <w:p>
      <w:pPr>
        <w:pStyle w:val="ListBullet"/>
      </w:pPr>
      <w:r>
        <w:t>Tabs 显示数量统计：必须处理、重点关注、关联分析、已恢复、建议动作、规则与降噪、证据不足。</w:t>
      </w:r>
    </w:p>
    <w:p>
      <w:pPr>
        <w:pStyle w:val="ListBullet"/>
      </w:pPr>
      <w:r>
        <w:t>右侧栏保留 AI分析信息、恢复/噪声摘要、规则与降噪摘要。</w:t>
      </w:r>
    </w:p>
    <w:p>
      <w:pPr>
        <w:pStyle w:val="ListBullet"/>
      </w:pPr>
      <w:r>
        <w:t>支持重新分析、查看历史和导出 Markdown。</w:t>
      </w:r>
    </w:p>
    <w:p>
      <w:pPr>
        <w:pStyle w:val="ListBullet"/>
      </w:pPr>
      <w:r>
        <w:t>详细证据、缺失数据和建议动作放在 Tabs 内，避免首屏堆叠。</w:t>
      </w:r>
    </w:p>
    <w:p>
      <w:pPr>
        <w:pStyle w:val="Heading2"/>
      </w:pPr>
      <w:r>
        <w:t>7.3 AI分析规则</w:t>
      </w:r>
    </w:p>
    <w:p>
      <w:pPr>
        <w:pStyle w:val="ListNumber"/>
      </w:pPr>
      <w:r>
        <w:t>进入“AI分析规则”。</w:t>
      </w:r>
    </w:p>
    <w:p>
      <w:pPr>
        <w:pStyle w:val="ListNumber"/>
      </w:pPr>
      <w:r>
        <w:t>点击“新增规则”。</w:t>
      </w:r>
    </w:p>
    <w:p>
      <w:pPr>
        <w:pStyle w:val="ListNumber"/>
      </w:pPr>
      <w:r>
        <w:t>输入自然语言规则，例如“光模块故障必须关注”“RADIUS所有信息都不管，忽视”“PPP认证失败超过100次才关注”。</w:t>
      </w:r>
    </w:p>
    <w:p>
      <w:pPr>
        <w:pStyle w:val="ListNumber"/>
      </w:pPr>
      <w:r>
        <w:t>点击“解析规则”，系统调用 AI 生成结构化理解。</w:t>
      </w:r>
    </w:p>
    <w:p>
      <w:pPr>
        <w:pStyle w:val="ListNumber"/>
      </w:pPr>
      <w:r>
        <w:t>检查系统理解、规则类型、动作、事件族、关键词、安全例外和置信度。</w:t>
      </w:r>
    </w:p>
    <w:p>
      <w:pPr>
        <w:pStyle w:val="ListNumber"/>
      </w:pPr>
      <w:r>
        <w:t>确认无误后点击“保存并启用”。低置信度或 unknown 规则需要先修改描述。</w:t>
      </w:r>
    </w:p>
    <w:p>
      <w:pPr>
        <w:pStyle w:val="Heading2"/>
      </w:pPr>
      <w:r>
        <w:t>7.4 定时任务</w:t>
      </w:r>
    </w:p>
    <w:p>
      <w:pPr>
        <w:pStyle w:val="ListBullet"/>
      </w:pPr>
      <w:r>
        <w:t>管理员可配置分析窗口、执行计划、启停状态和立即运行。</w:t>
      </w:r>
    </w:p>
    <w:p>
      <w:pPr>
        <w:pStyle w:val="ListBullet"/>
      </w:pPr>
      <w:r>
        <w:t>scheduler 周期轮询到期任务，调用 AI分析流程并保存结果。</w:t>
      </w:r>
    </w:p>
    <w:p>
      <w:pPr>
        <w:pStyle w:val="ListBullet"/>
      </w:pPr>
      <w:r>
        <w:t>任务执行结果可在 AI分析历史中查看。</w:t>
      </w:r>
    </w:p>
    <w:p>
      <w:pPr>
        <w:pStyle w:val="Heading1"/>
      </w:pPr>
      <w:r>
        <w:t>8. 部署与运维说明</w:t>
      </w:r>
    </w:p>
    <w:p>
      <w:r>
        <w:t>部署目录：</w:t>
      </w:r>
    </w:p>
    <w:p>
      <w:pPr>
        <w:pStyle w:val="CodeBlock"/>
      </w:pPr>
      <w:r>
        <w:t>/opt/jscn-aiops/deploy</w:t>
      </w:r>
    </w:p>
    <w:p>
      <w:r>
        <w:t>数据目录：</w:t>
      </w:r>
    </w:p>
    <w:p>
      <w:pPr>
        <w:pStyle w:val="CodeBlock"/>
      </w:pPr>
      <w:r>
        <w:t>/data/jscn-aiops</w:t>
      </w:r>
    </w:p>
    <w:p>
      <w:r>
        <w:t>启动命令：</w:t>
      </w:r>
    </w:p>
    <w:p>
      <w:pPr>
        <w:pStyle w:val="CodeBlock"/>
      </w:pPr>
      <w:r>
        <w:t>cd /opt/jscn-aiops/deploy</w:t>
        <w:br/>
        <w:t>docker-compose up -d</w:t>
      </w:r>
    </w:p>
    <w:p>
      <w:r>
        <w:t>常用检查命令：</w:t>
      </w:r>
    </w:p>
    <w:p>
      <w:pPr>
        <w:pStyle w:val="CodeBlock"/>
      </w:pPr>
      <w:r>
        <w:t>docker-compose ps</w:t>
        <w:br/>
        <w:t>docker-compose logs --tail=100 aiops-api</w:t>
        <w:br/>
        <w:t>docker-compose logs --tail=100 aiops-event-worker</w:t>
        <w:br/>
        <w:t>docker-compose logs --tail=100 aiops-scheduler</w:t>
        <w:br/>
        <w:t>curl -s http://127.0.0.1:5772/api/health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>
              <w:rPr>
                <w:b/>
                <w:color w:val="FFFFFF"/>
              </w:rPr>
              <w:t>服务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rPr>
                <w:b/>
                <w:color w:val="FFFFFF"/>
              </w:rPr>
              <w:t>默认端口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408"/>
            <w:vAlign w:val="center"/>
          </w:tcPr>
          <w:p>
            <w:r>
              <w:t>aiops-web</w:t>
            </w:r>
          </w:p>
        </w:tc>
        <w:tc>
          <w:tcPr>
            <w:tcW w:type="dxa" w:w="3408"/>
            <w:vAlign w:val="center"/>
          </w:tcPr>
          <w:p>
            <w:r>
              <w:t>5772</w:t>
            </w:r>
          </w:p>
        </w:tc>
        <w:tc>
          <w:tcPr>
            <w:tcW w:type="dxa" w:w="3408"/>
            <w:vAlign w:val="center"/>
          </w:tcPr>
          <w:p>
            <w:r>
              <w:t>Web 控制台和 /api 反向代理。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aiops-api</w:t>
            </w:r>
          </w:p>
        </w:tc>
        <w:tc>
          <w:tcPr>
            <w:tcW w:type="dxa" w:w="3408"/>
            <w:vAlign w:val="center"/>
          </w:tcPr>
          <w:p>
            <w:r>
              <w:t>8080</w:t>
            </w:r>
          </w:p>
        </w:tc>
        <w:tc>
          <w:tcPr>
            <w:tcW w:type="dxa" w:w="3408"/>
            <w:vAlign w:val="center"/>
          </w:tcPr>
          <w:p>
            <w:r>
              <w:t>Flask API。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Elasticsearch</w:t>
            </w:r>
          </w:p>
        </w:tc>
        <w:tc>
          <w:tcPr>
            <w:tcW w:type="dxa" w:w="3408"/>
            <w:vAlign w:val="center"/>
          </w:tcPr>
          <w:p>
            <w:r>
              <w:t>9200</w:t>
            </w:r>
          </w:p>
        </w:tc>
        <w:tc>
          <w:tcPr>
            <w:tcW w:type="dxa" w:w="3408"/>
            <w:vAlign w:val="center"/>
          </w:tcPr>
          <w:p>
            <w:r>
              <w:t>日志、Trap 和告警事件检索。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Kibana</w:t>
            </w:r>
          </w:p>
        </w:tc>
        <w:tc>
          <w:tcPr>
            <w:tcW w:type="dxa" w:w="3408"/>
            <w:vAlign w:val="center"/>
          </w:tcPr>
          <w:p>
            <w:r>
              <w:t>5601</w:t>
            </w:r>
          </w:p>
        </w:tc>
        <w:tc>
          <w:tcPr>
            <w:tcW w:type="dxa" w:w="3408"/>
            <w:vAlign w:val="center"/>
          </w:tcPr>
          <w:p>
            <w:r>
              <w:t>ES 查询和验证。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MySQL</w:t>
            </w:r>
          </w:p>
        </w:tc>
        <w:tc>
          <w:tcPr>
            <w:tcW w:type="dxa" w:w="3408"/>
            <w:vAlign w:val="center"/>
          </w:tcPr>
          <w:p>
            <w:r>
              <w:t>13306</w:t>
            </w:r>
          </w:p>
        </w:tc>
        <w:tc>
          <w:tcPr>
            <w:tcW w:type="dxa" w:w="3408"/>
            <w:vAlign w:val="center"/>
          </w:tcPr>
          <w:p>
            <w:r>
              <w:t>应用元数据。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Syslog UDP</w:t>
            </w:r>
          </w:p>
        </w:tc>
        <w:tc>
          <w:tcPr>
            <w:tcW w:type="dxa" w:w="3408"/>
            <w:vAlign w:val="center"/>
          </w:tcPr>
          <w:p>
            <w:r>
              <w:t>10087</w:t>
            </w:r>
          </w:p>
        </w:tc>
        <w:tc>
          <w:tcPr>
            <w:tcW w:type="dxa" w:w="3408"/>
            <w:vAlign w:val="center"/>
          </w:tcPr>
          <w:p>
            <w:r>
              <w:t>设备 Syslog 接入。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SNMP Trap UDP</w:t>
            </w:r>
          </w:p>
        </w:tc>
        <w:tc>
          <w:tcPr>
            <w:tcW w:type="dxa" w:w="3408"/>
            <w:vAlign w:val="center"/>
          </w:tcPr>
          <w:p>
            <w:r>
              <w:t>10086</w:t>
            </w:r>
          </w:p>
        </w:tc>
        <w:tc>
          <w:tcPr>
            <w:tcW w:type="dxa" w:w="3408"/>
            <w:vAlign w:val="center"/>
          </w:tcPr>
          <w:p>
            <w:r>
              <w:t>设备 Trap 接入。</w:t>
            </w:r>
          </w:p>
        </w:tc>
      </w:tr>
    </w:tbl>
    <w:p>
      <w:pPr>
        <w:pStyle w:val="Heading1"/>
      </w:pPr>
      <w:r>
        <w:t>9. 主要数据表与索引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3408"/>
            <w:vAlign w:val="center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>
              <w:t>ES索引</w:t>
            </w:r>
          </w:p>
        </w:tc>
        <w:tc>
          <w:tcPr>
            <w:tcW w:type="dxa" w:w="3408"/>
            <w:vAlign w:val="center"/>
          </w:tcPr>
          <w:p>
            <w:r>
              <w:t>jscn-aiops-syslog-raw-*</w:t>
            </w:r>
          </w:p>
        </w:tc>
        <w:tc>
          <w:tcPr>
            <w:tcW w:type="dxa" w:w="3408"/>
            <w:vAlign w:val="center"/>
          </w:tcPr>
          <w:p>
            <w:r>
              <w:t>Syslog 原始留存。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ES索引</w:t>
            </w:r>
          </w:p>
        </w:tc>
        <w:tc>
          <w:tcPr>
            <w:tcW w:type="dxa" w:w="3408"/>
            <w:vAlign w:val="center"/>
          </w:tcPr>
          <w:p>
            <w:r>
              <w:t>jscn-aiops-syslog-parsed-*</w:t>
            </w:r>
          </w:p>
        </w:tc>
        <w:tc>
          <w:tcPr>
            <w:tcW w:type="dxa" w:w="3408"/>
            <w:vAlign w:val="center"/>
          </w:tcPr>
          <w:p>
            <w:r>
              <w:t>结构化 Syslog。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ES索引</w:t>
            </w:r>
          </w:p>
        </w:tc>
        <w:tc>
          <w:tcPr>
            <w:tcW w:type="dxa" w:w="3408"/>
            <w:vAlign w:val="center"/>
          </w:tcPr>
          <w:p>
            <w:r>
              <w:t>jscn-aiops-trap-raw-*</w:t>
            </w:r>
          </w:p>
        </w:tc>
        <w:tc>
          <w:tcPr>
            <w:tcW w:type="dxa" w:w="3408"/>
            <w:vAlign w:val="center"/>
          </w:tcPr>
          <w:p>
            <w:r>
              <w:t>Trap 原始及基础字段。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ES索引</w:t>
            </w:r>
          </w:p>
        </w:tc>
        <w:tc>
          <w:tcPr>
            <w:tcW w:type="dxa" w:w="3408"/>
            <w:vAlign w:val="center"/>
          </w:tcPr>
          <w:p>
            <w:r>
              <w:t>jscn-aiops-alarm-events-*</w:t>
            </w:r>
          </w:p>
        </w:tc>
        <w:tc>
          <w:tcPr>
            <w:tcW w:type="dxa" w:w="3408"/>
            <w:vAlign w:val="center"/>
          </w:tcPr>
          <w:p>
            <w:r>
              <w:t>事件聚合结果。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MySQL表</w:t>
            </w:r>
          </w:p>
        </w:tc>
        <w:tc>
          <w:tcPr>
            <w:tcW w:type="dxa" w:w="3408"/>
            <w:vAlign w:val="center"/>
          </w:tcPr>
          <w:p>
            <w:r>
              <w:t>ai_analysis_runs</w:t>
            </w:r>
          </w:p>
        </w:tc>
        <w:tc>
          <w:tcPr>
            <w:tcW w:type="dxa" w:w="3408"/>
            <w:vAlign w:val="center"/>
          </w:tcPr>
          <w:p>
            <w:r>
              <w:t>AI分析运行记录。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MySQL表</w:t>
            </w:r>
          </w:p>
        </w:tc>
        <w:tc>
          <w:tcPr>
            <w:tcW w:type="dxa" w:w="3408"/>
            <w:vAlign w:val="center"/>
          </w:tcPr>
          <w:p>
            <w:r>
              <w:t>ai_findings</w:t>
            </w:r>
          </w:p>
        </w:tc>
        <w:tc>
          <w:tcPr>
            <w:tcW w:type="dxa" w:w="3408"/>
            <w:vAlign w:val="center"/>
          </w:tcPr>
          <w:p>
            <w:r>
              <w:t>AI发现项。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MySQL表</w:t>
            </w:r>
          </w:p>
        </w:tc>
        <w:tc>
          <w:tcPr>
            <w:tcW w:type="dxa" w:w="3408"/>
            <w:vAlign w:val="center"/>
          </w:tcPr>
          <w:p>
            <w:r>
              <w:t>ai_analysis_rules</w:t>
            </w:r>
          </w:p>
        </w:tc>
        <w:tc>
          <w:tcPr>
            <w:tcW w:type="dxa" w:w="3408"/>
            <w:vAlign w:val="center"/>
          </w:tcPr>
          <w:p>
            <w:r>
              <w:t>AI分析规则。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MySQL表</w:t>
            </w:r>
          </w:p>
        </w:tc>
        <w:tc>
          <w:tcPr>
            <w:tcW w:type="dxa" w:w="3408"/>
            <w:vAlign w:val="center"/>
          </w:tcPr>
          <w:p>
            <w:r>
              <w:t>ai_analysis_rule_hits</w:t>
            </w:r>
          </w:p>
        </w:tc>
        <w:tc>
          <w:tcPr>
            <w:tcW w:type="dxa" w:w="3408"/>
            <w:vAlign w:val="center"/>
          </w:tcPr>
          <w:p>
            <w:r>
              <w:t>规则命中记录。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MySQL表</w:t>
            </w:r>
          </w:p>
        </w:tc>
        <w:tc>
          <w:tcPr>
            <w:tcW w:type="dxa" w:w="3408"/>
            <w:vAlign w:val="center"/>
          </w:tcPr>
          <w:p>
            <w:r>
              <w:t>report_tasks</w:t>
            </w:r>
          </w:p>
        </w:tc>
        <w:tc>
          <w:tcPr>
            <w:tcW w:type="dxa" w:w="3408"/>
            <w:vAlign w:val="center"/>
          </w:tcPr>
          <w:p>
            <w:r>
              <w:t>定时分析任务。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MySQL表</w:t>
            </w:r>
          </w:p>
        </w:tc>
        <w:tc>
          <w:tcPr>
            <w:tcW w:type="dxa" w:w="3408"/>
            <w:vAlign w:val="center"/>
          </w:tcPr>
          <w:p>
            <w:r>
              <w:t>users / audit_logs</w:t>
            </w:r>
          </w:p>
        </w:tc>
        <w:tc>
          <w:tcPr>
            <w:tcW w:type="dxa" w:w="3408"/>
            <w:vAlign w:val="center"/>
          </w:tcPr>
          <w:p>
            <w:r>
              <w:t>用户与审计。</w:t>
            </w:r>
          </w:p>
        </w:tc>
      </w:tr>
    </w:tbl>
    <w:p>
      <w:pPr>
        <w:pStyle w:val="Heading1"/>
      </w:pPr>
      <w:r>
        <w:t>10. 安全与审计设计</w:t>
      </w:r>
    </w:p>
    <w:p>
      <w:pPr>
        <w:pStyle w:val="ListBullet"/>
      </w:pPr>
      <w:r>
        <w:t>账号由系统内管理员维护，登录页面不提供公开注册。</w:t>
      </w:r>
    </w:p>
    <w:p>
      <w:pPr>
        <w:pStyle w:val="ListBullet"/>
      </w:pPr>
      <w:r>
        <w:t>管理员角色可以触发分析、管理规则、管理任务和用户；普通用户以查看为主。</w:t>
      </w:r>
    </w:p>
    <w:p>
      <w:pPr>
        <w:pStyle w:val="ListBullet"/>
      </w:pPr>
      <w:r>
        <w:t>所有 API Key 均通过环境变量或 deploy/.env 注入，不写死在代码中。</w:t>
      </w:r>
    </w:p>
    <w:p>
      <w:pPr>
        <w:pStyle w:val="ListBullet"/>
      </w:pPr>
      <w:r>
        <w:t>AI 不直接操作数据库，不执行模型生成的 SQL/DSL。</w:t>
      </w:r>
    </w:p>
    <w:p>
      <w:pPr>
        <w:pStyle w:val="ListBullet"/>
      </w:pPr>
      <w:r>
        <w:t>AI分析规则保留 raw_text、parsed_rule、hit_count 和 last_hit_at，便于审计。</w:t>
      </w:r>
    </w:p>
    <w:p>
      <w:pPr>
        <w:pStyle w:val="ListBullet"/>
      </w:pPr>
      <w:r>
        <w:t>降噪规则必须保留安全例外，避免重大故障被用户规则完全屏蔽。</w:t>
      </w:r>
    </w:p>
    <w:p>
      <w:pPr>
        <w:pStyle w:val="Heading1"/>
      </w:pPr>
      <w:r>
        <w:t>11. 故障处理与回滚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5112"/>
            <w:vAlign w:val="center"/>
            <w:shd w:fill="1F4E79"/>
          </w:tcPr>
          <w:p>
            <w:r>
              <w:rPr>
                <w:b/>
                <w:color w:val="FFFFFF"/>
              </w:rPr>
              <w:t>处理方式</w:t>
            </w:r>
          </w:p>
        </w:tc>
      </w:tr>
      <w:tr>
        <w:tc>
          <w:tcPr>
            <w:tcW w:type="dxa" w:w="5112"/>
            <w:vAlign w:val="center"/>
          </w:tcPr>
          <w:p>
            <w:r>
              <w:t>Web 页面无法打开</w:t>
            </w:r>
          </w:p>
        </w:tc>
        <w:tc>
          <w:tcPr>
            <w:tcW w:type="dxa" w:w="5112"/>
            <w:vAlign w:val="center"/>
          </w:tcPr>
          <w:p>
            <w:r>
              <w:t>检查 aiops-web 容器、5772 端口、Nginx 日志和 frontend/dist 是否存在。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API 健康检查失败</w:t>
            </w:r>
          </w:p>
        </w:tc>
        <w:tc>
          <w:tcPr>
            <w:tcW w:type="dxa" w:w="5112"/>
            <w:vAlign w:val="center"/>
          </w:tcPr>
          <w:p>
            <w:r>
              <w:t>检查 aiops-api 容器日志、MySQL/ES 连接、deploy/.env 配置。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无实时数据</w:t>
            </w:r>
          </w:p>
        </w:tc>
        <w:tc>
          <w:tcPr>
            <w:tcW w:type="dxa" w:w="5112"/>
            <w:vAlign w:val="center"/>
          </w:tcPr>
          <w:p>
            <w:r>
              <w:t>检查 Logstash、UDP 10086/10087、防火墙、ES 索引写入情况。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AI分析失败</w:t>
            </w:r>
          </w:p>
        </w:tc>
        <w:tc>
          <w:tcPr>
            <w:tcW w:type="dxa" w:w="5112"/>
            <w:vAlign w:val="center"/>
          </w:tcPr>
          <w:p>
            <w:r>
              <w:t>检查 aiops-api 或 aiops-scheduler 日志、LLM 配置、内网模型健康检查。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规则解析不准确</w:t>
            </w:r>
          </w:p>
        </w:tc>
        <w:tc>
          <w:tcPr>
            <w:tcW w:type="dxa" w:w="5112"/>
            <w:vAlign w:val="center"/>
          </w:tcPr>
          <w:p>
            <w:r>
              <w:t>查看 parsed_rule 和置信度；修改自然语言描述；后端兜底会修正明显反向语义。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页面版本需回退</w:t>
            </w:r>
          </w:p>
        </w:tc>
        <w:tc>
          <w:tcPr>
            <w:tcW w:type="dxa" w:w="5112"/>
            <w:vAlign w:val="center"/>
          </w:tcPr>
          <w:p>
            <w:r>
              <w:t>使用 /data/jscn-aiops/backups 下的 tar.gz 备份恢复对应文件后 reload/recreate 服务。</w:t>
            </w:r>
          </w:p>
        </w:tc>
      </w:tr>
    </w:tbl>
    <w:p>
      <w:pPr>
        <w:pStyle w:val="Heading1"/>
      </w:pPr>
      <w:r>
        <w:t>12. 当前版本交付清单</w:t>
      </w:r>
    </w:p>
    <w:p>
      <w:pPr>
        <w:pStyle w:val="ListBullet"/>
      </w:pPr>
      <w:r>
        <w:t>AI分析结果页：完成对外演示型视觉升级、Hero 收敛、Tabs 数量统计、机器人气泡优化。</w:t>
      </w:r>
    </w:p>
    <w:p>
      <w:pPr>
        <w:pStyle w:val="ListBullet"/>
      </w:pPr>
      <w:r>
        <w:t>模型调用：完成内网 deepseek-v4-pro 优先、公网 fallback、健康检查与脱敏日志。</w:t>
      </w:r>
    </w:p>
    <w:p>
      <w:pPr>
        <w:pStyle w:val="ListBullet"/>
      </w:pPr>
      <w:r>
        <w:t>AI分析规则：完成自然语言规则 AI解析、后端校验、安全例外、命中记录和前端确认流程。</w:t>
      </w:r>
    </w:p>
    <w:p>
      <w:pPr>
        <w:pStyle w:val="ListBullet"/>
      </w:pPr>
      <w:r>
        <w:t>数据库：新增 ai_analysis_rules、ai_analysis_rule_hits 等规则相关元数据。</w:t>
      </w:r>
    </w:p>
    <w:p>
      <w:pPr>
        <w:pStyle w:val="ListBullet"/>
      </w:pPr>
      <w:r>
        <w:t>测试：补充规则解析测试，覆盖 RADIUS 忽略、必须关注、不能忽略、光模块、伪造模块、PPP阈值等场景。</w:t>
      </w:r>
    </w:p>
    <w:p>
      <w:pPr>
        <w:pStyle w:val="Heading1"/>
      </w:pPr>
      <w:r>
        <w:t>附录 A：关键文件路径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5112"/>
            <w:vAlign w:val="center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>
              <w:t>frontend/src/App.vue</w:t>
            </w:r>
          </w:p>
        </w:tc>
        <w:tc>
          <w:tcPr>
            <w:tcW w:type="dxa" w:w="5112"/>
            <w:vAlign w:val="center"/>
          </w:tcPr>
          <w:p>
            <w:r>
              <w:t>前端主页面、AI分析结果页、规则页面交互。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frontend/src/styles.css</w:t>
            </w:r>
          </w:p>
        </w:tc>
        <w:tc>
          <w:tcPr>
            <w:tcW w:type="dxa" w:w="5112"/>
            <w:vAlign w:val="center"/>
          </w:tcPr>
          <w:p>
            <w:r>
              <w:t>视觉样式、Hero、机器人、Tabs、侧栏。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aiops/llm/client.py</w:t>
            </w:r>
          </w:p>
        </w:tc>
        <w:tc>
          <w:tcPr>
            <w:tcW w:type="dxa" w:w="5112"/>
            <w:vAlign w:val="center"/>
          </w:tcPr>
          <w:p>
            <w:r>
              <w:t>统一 LLM 调用、内网优先、公网 fallback。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aiops/agent/light_agent.py</w:t>
            </w:r>
          </w:p>
        </w:tc>
        <w:tc>
          <w:tcPr>
            <w:tcW w:type="dxa" w:w="5112"/>
            <w:vAlign w:val="center"/>
          </w:tcPr>
          <w:p>
            <w:r>
              <w:t>轻量 AI Agent 主流程。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aiops/rules/analysis_rules.py</w:t>
            </w:r>
          </w:p>
        </w:tc>
        <w:tc>
          <w:tcPr>
            <w:tcW w:type="dxa" w:w="5112"/>
            <w:vAlign w:val="center"/>
          </w:tcPr>
          <w:p>
            <w:r>
              <w:t>AI分析规则解析、校验、应用、命中记录。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app/api/analysis_rules.py</w:t>
            </w:r>
          </w:p>
        </w:tc>
        <w:tc>
          <w:tcPr>
            <w:tcW w:type="dxa" w:w="5112"/>
            <w:vAlign w:val="center"/>
          </w:tcPr>
          <w:p>
            <w:r>
              <w:t>AI分析规则 API。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app/api/llm.py</w:t>
            </w:r>
          </w:p>
        </w:tc>
        <w:tc>
          <w:tcPr>
            <w:tcW w:type="dxa" w:w="5112"/>
            <w:vAlign w:val="center"/>
          </w:tcPr>
          <w:p>
            <w:r>
              <w:t>LLM 健康检查 API。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deploy/docker-compose.yml</w:t>
            </w:r>
          </w:p>
        </w:tc>
        <w:tc>
          <w:tcPr>
            <w:tcW w:type="dxa" w:w="5112"/>
            <w:vAlign w:val="center"/>
          </w:tcPr>
          <w:p>
            <w:r>
              <w:t>单机 Docker Compose 部署编排。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tests/test_analysis_rules.py</w:t>
            </w:r>
          </w:p>
        </w:tc>
        <w:tc>
          <w:tcPr>
            <w:tcW w:type="dxa" w:w="5112"/>
            <w:vAlign w:val="center"/>
          </w:tcPr>
          <w:p>
            <w:r>
              <w:t>AI规则解析测试用例。</w:t>
            </w:r>
          </w:p>
        </w:tc>
      </w:tr>
    </w:tbl>
    <w:p>
      <w:pPr>
        <w:pStyle w:val="Heading1"/>
      </w:pPr>
      <w:r>
        <w:t>附录 B：版本备注</w:t>
      </w:r>
    </w:p>
    <w:p>
      <w:r>
        <w:t>本文档对应 2026-05-20 当前 GitHub 更新版本。后续如果改造为多节点部署、结构化 JSON 报告协议或更完整的用户权限模型，应同步更新本文档。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