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4E" w:rsidRDefault="00D8164E" w:rsidP="00D8164E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股票比较</w:t>
      </w:r>
    </w:p>
    <w:p w:rsidR="00D8164E" w:rsidRDefault="00D8164E" w:rsidP="00D81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bCs/>
          <w:sz w:val="28"/>
          <w:szCs w:val="28"/>
        </w:rPr>
      </w:pPr>
      <w:r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D8164E" w:rsidRDefault="00D8164E" w:rsidP="00D8164E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可以查看一段时间内不同的两只股票具体行情表现差异。输入待比较的两只股票编号（或股票名称）、开始日期和结束日期后，系统输出这段时间内这两只股票之间比较数据。数据包括但不局限于这两只股票这段时间的最低值、最高值、涨跌幅、每天的收盘价、对数收益率及对数收益率方差</w:t>
      </w:r>
    </w:p>
    <w:p w:rsidR="00D8164E" w:rsidRDefault="00D8164E" w:rsidP="00D8164E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优先级：高</w:t>
      </w:r>
    </w:p>
    <w:p w:rsidR="00D8164E" w:rsidRDefault="00D8164E" w:rsidP="00D81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宋体" w:hint="eastAsia"/>
          <w:bCs/>
          <w:sz w:val="28"/>
          <w:szCs w:val="28"/>
        </w:rPr>
        <w:t>刺激/响应序列</w:t>
      </w:r>
    </w:p>
    <w:p w:rsidR="00D8164E" w:rsidRDefault="00D8164E" w:rsidP="00D8164E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刺激1：</w:t>
      </w:r>
      <w:r w:rsidR="00D14047">
        <w:rPr>
          <w:rFonts w:ascii="微软雅黑" w:eastAsia="微软雅黑" w:hAnsi="微软雅黑" w:cs="微软雅黑" w:hint="eastAsia"/>
          <w:szCs w:val="21"/>
        </w:rPr>
        <w:t>用户选择</w:t>
      </w:r>
      <w:r w:rsidR="00FA741E">
        <w:rPr>
          <w:rFonts w:ascii="微软雅黑" w:eastAsia="微软雅黑" w:hAnsi="微软雅黑" w:cs="微软雅黑" w:hint="eastAsia"/>
          <w:szCs w:val="21"/>
        </w:rPr>
        <w:t>股票对比</w:t>
      </w:r>
    </w:p>
    <w:p w:rsidR="00D8164E" w:rsidRDefault="00D8164E" w:rsidP="00D8164E">
      <w:pPr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响应：系统</w:t>
      </w:r>
      <w:r w:rsidR="00FA741E">
        <w:rPr>
          <w:rFonts w:ascii="微软雅黑" w:eastAsia="微软雅黑" w:hAnsi="微软雅黑" w:cs="微软雅黑" w:hint="eastAsia"/>
          <w:szCs w:val="21"/>
        </w:rPr>
        <w:t>提示用户输入两只股票编号或名称以及开始、结束日期</w:t>
      </w:r>
    </w:p>
    <w:p w:rsidR="00FA741E" w:rsidRDefault="00FA741E" w:rsidP="00FA741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刺激2：用户输入股票编号或名称以及开始、结束日期</w:t>
      </w:r>
    </w:p>
    <w:p w:rsidR="00FA741E" w:rsidRDefault="00FA741E" w:rsidP="00FA741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响应：系统显示股票对比信息页面</w:t>
      </w:r>
    </w:p>
    <w:p w:rsidR="00FA741E" w:rsidRDefault="00FA741E" w:rsidP="00FA741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刺激3：用户选择修改股票编号</w:t>
      </w:r>
    </w:p>
    <w:p w:rsidR="00FA741E" w:rsidRDefault="00FA741E" w:rsidP="00FA741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响应：系统显示股票对比信息页面</w:t>
      </w:r>
    </w:p>
    <w:p w:rsidR="00FA741E" w:rsidRDefault="00FA741E" w:rsidP="00FA741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刺激4：用户选择修改开始或结束日期</w:t>
      </w:r>
    </w:p>
    <w:p w:rsidR="00FA741E" w:rsidRPr="00FA741E" w:rsidRDefault="00FA741E" w:rsidP="00FA741E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响应：系统显示股票对比信息页面</w:t>
      </w:r>
    </w:p>
    <w:p w:rsidR="00D8164E" w:rsidRDefault="00D8164E" w:rsidP="00D81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bCs/>
          <w:sz w:val="28"/>
          <w:szCs w:val="28"/>
        </w:rPr>
      </w:pPr>
      <w:r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0"/>
        <w:gridCol w:w="4080"/>
      </w:tblGrid>
      <w:tr w:rsidR="00D8164E" w:rsidTr="004D5BAB">
        <w:trPr>
          <w:trHeight w:val="411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8164E" w:rsidRDefault="00D8164E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8164E" w:rsidRDefault="00D8164E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8164E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D8164E" w:rsidRDefault="00D816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</w:t>
            </w:r>
            <w:r w:rsidR="00FA741E">
              <w:rPr>
                <w:rFonts w:ascii="微软雅黑" w:eastAsia="微软雅黑" w:hAnsi="微软雅黑" w:cs="微软雅黑" w:hint="eastAsia"/>
                <w:szCs w:val="21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.Start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D8164E" w:rsidRDefault="00D816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系统允许用户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选择股票比较功能</w:t>
            </w:r>
          </w:p>
        </w:tc>
      </w:tr>
      <w:tr w:rsidR="00D8164E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FA741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StockComparison</w:t>
            </w:r>
            <w:r w:rsidR="00D8164E">
              <w:rPr>
                <w:rFonts w:ascii="微软雅黑" w:eastAsia="微软雅黑" w:hAnsi="微软雅黑" w:cs="微软雅黑" w:hint="eastAsia"/>
                <w:szCs w:val="21"/>
              </w:rPr>
              <w:t>.Input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D8164E" w:rsidP="004D5BA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用户在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使用股票比较时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输入要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比较的两只股票的编号或名称及日期信息</w:t>
            </w:r>
          </w:p>
        </w:tc>
      </w:tr>
      <w:tr w:rsidR="004D5BAB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D5BAB" w:rsidRDefault="004D5BAB" w:rsidP="003F2777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StockComparison.Input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.Modify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D5BAB" w:rsidRDefault="004D5BAB" w:rsidP="003F2777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="00C47D90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股票比较</w:t>
            </w:r>
            <w:r w:rsidR="00C47D90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时</w:t>
            </w:r>
            <w:r w:rsidR="00C47D90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要比较的两只股票的编号或名称及日期信息</w:t>
            </w:r>
          </w:p>
        </w:tc>
      </w:tr>
      <w:tr w:rsidR="00D8164E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FA741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StockComparison</w:t>
            </w:r>
            <w:r w:rsidR="00D8164E">
              <w:rPr>
                <w:rFonts w:ascii="微软雅黑" w:eastAsia="微软雅黑" w:hAnsi="微软雅黑" w:cs="微软雅黑" w:hint="eastAsia"/>
                <w:szCs w:val="21"/>
              </w:rPr>
              <w:t>.Input.Submit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4D5BA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客户提交输入的编号及日期信息</w:t>
            </w:r>
          </w:p>
        </w:tc>
      </w:tr>
      <w:tr w:rsidR="00D8164E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FA741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StockComparison</w:t>
            </w:r>
            <w:r w:rsidR="00D8164E">
              <w:rPr>
                <w:rFonts w:ascii="微软雅黑" w:eastAsia="微软雅黑" w:hAnsi="微软雅黑" w:cs="微软雅黑" w:hint="eastAsia"/>
                <w:szCs w:val="21"/>
              </w:rPr>
              <w:t>.Input.Cancel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D8164E" w:rsidP="004D5BA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客户取消输入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，系统返回主界面</w:t>
            </w:r>
          </w:p>
        </w:tc>
      </w:tr>
      <w:tr w:rsidR="00D8164E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D8164E" w:rsidRDefault="00FA741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StockComparison</w:t>
            </w:r>
            <w:r w:rsidR="00D8164E">
              <w:rPr>
                <w:rFonts w:ascii="微软雅黑" w:eastAsia="微软雅黑" w:hAnsi="微软雅黑" w:cs="微软雅黑" w:hint="eastAsia"/>
                <w:szCs w:val="21"/>
              </w:rPr>
              <w:t>.Show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D8164E" w:rsidRDefault="00D8164E" w:rsidP="004D5BA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两只股票的对比新信息</w:t>
            </w:r>
          </w:p>
        </w:tc>
      </w:tr>
      <w:tr w:rsidR="00D8164E" w:rsidTr="004D5BAB">
        <w:trPr>
          <w:trHeight w:val="346"/>
          <w:jc w:val="center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FA741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StockComparison</w:t>
            </w:r>
            <w:r w:rsidR="00D8164E">
              <w:rPr>
                <w:rFonts w:ascii="微软雅黑" w:eastAsia="微软雅黑" w:hAnsi="微软雅黑" w:cs="微软雅黑" w:hint="eastAsia"/>
                <w:szCs w:val="21"/>
              </w:rPr>
              <w:t>.End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8164E" w:rsidRDefault="00D8164E" w:rsidP="004D5BA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系统允许结束</w:t>
            </w:r>
            <w:r w:rsidR="004D5BAB">
              <w:rPr>
                <w:rFonts w:ascii="微软雅黑" w:eastAsia="微软雅黑" w:hAnsi="微软雅黑" w:cs="微软雅黑" w:hint="eastAsia"/>
                <w:szCs w:val="21"/>
              </w:rPr>
              <w:t>股票对比功能</w:t>
            </w:r>
          </w:p>
        </w:tc>
      </w:tr>
    </w:tbl>
    <w:p w:rsidR="005B2013" w:rsidRDefault="005B2013"/>
    <w:p w:rsidR="00F359E2" w:rsidRDefault="00F359E2">
      <w:pPr>
        <w:rPr>
          <w:rFonts w:hint="eastAsia"/>
        </w:rPr>
      </w:pPr>
      <w:bookmarkStart w:id="0" w:name="_GoBack"/>
      <w:bookmarkEnd w:id="0"/>
    </w:p>
    <w:sectPr w:rsidR="00F3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CF"/>
    <w:rsid w:val="004D5BAB"/>
    <w:rsid w:val="005B2013"/>
    <w:rsid w:val="006112CF"/>
    <w:rsid w:val="00C47D90"/>
    <w:rsid w:val="00D14047"/>
    <w:rsid w:val="00D8164E"/>
    <w:rsid w:val="00F359E2"/>
    <w:rsid w:val="00F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9F2E"/>
  <w15:chartTrackingRefBased/>
  <w15:docId w15:val="{ABBA7A2E-A744-4988-AF8F-5BCCFF1E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64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64E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D8164E"/>
    <w:rPr>
      <w:rFonts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164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8164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81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97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5</cp:revision>
  <dcterms:created xsi:type="dcterms:W3CDTF">2017-03-04T07:30:00Z</dcterms:created>
  <dcterms:modified xsi:type="dcterms:W3CDTF">2017-03-04T08:15:00Z</dcterms:modified>
</cp:coreProperties>
</file>