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rPr>
          <w:rFonts w:hint="eastAsia"/>
          <w:lang w:val="en-US" w:eastAsia="zh-CN"/>
        </w:rPr>
        <w:t>《光电传感技术》复习提纲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信息技术的三个分类。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微电子技术、光子信息技术、光电信息技术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测量有两种方式。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直接测量和间接测量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光电检测技术和光电测量技术的区别。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-检测是通过一定的物理方式，分辨出被测参数量并归属到某一范围带，以此来判别被测参数是否合格或参数量是否存在。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-测量是将被测的未知量与同性质的标准量进行比较，确定被测量对标准量的倍数，并通过数字表示出这个倍数的过程。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从能量角度出发，可将传感器划分为两种类型。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能量控制性传感器（有源传感器）、能量转换性传感器（无源传感器）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光电检测系统通常分为主动式和被动式两种类型。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敏感器和传感器的区别。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-敏感器是能够将被测非电量转换为可用非电量的器件或装置。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-传感器是把被测非电量转换为电量。</w:t>
      </w:r>
    </w:p>
    <w:p>
      <w:pPr>
        <w:keepNext w:val="0"/>
        <w:keepLines w:val="0"/>
        <w:widowControl/>
        <w:suppressLineNumbers w:val="0"/>
        <w:jc w:val="left"/>
        <w:rPr>
          <w:b/>
          <w:bCs/>
          <w:sz w:val="30"/>
          <w:szCs w:val="30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第二章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按照工作原理可将光电检测器件分为哪两类？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光子探测器、热探测器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光电导增益与带宽的关系。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材料的光电灵敏度（与光电增益成正比）与带宽是矛盾的；材料的光电灵敏度高，则带宽窄；反之，器件的带宽越宽，则光电灵敏度越低。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杂质半导体和本征半导体的截止波长对比；本征和杂质光电导效应的含义。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杂质截止波长总是大于本征截止波长。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hAnsi="Cambria Math" w:cs="宋体"/>
          <w:bCs w:val="0"/>
          <w:i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本征光电导：只有光子能量hv大于材料禁带宽度</w:t>
      </w:r>
      <m:oMath>
        <m:sSub>
          <m:sSubPr>
            <m:ctrlPr>
              <w:rPr>
                <w:rFonts w:ascii="Cambria Math" w:hAnsi="Cambria Math" w:cs="宋体"/>
                <w:bCs w:val="0"/>
                <w:i/>
                <w:color w:val="000000"/>
                <w:kern w:val="0"/>
                <w:sz w:val="30"/>
                <w:szCs w:val="30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="宋体"/>
                <w:color w:val="000000"/>
                <w:kern w:val="0"/>
                <w:sz w:val="30"/>
                <w:szCs w:val="30"/>
                <w:lang w:val="en-US" w:eastAsia="zh-CN" w:bidi="ar"/>
              </w:rPr>
              <m:t>E</m:t>
            </m:r>
            <m:ctrlPr>
              <w:rPr>
                <w:rFonts w:ascii="Cambria Math" w:hAnsi="Cambria Math" w:cs="宋体"/>
                <w:bCs w:val="0"/>
                <w:i/>
                <w:color w:val="000000"/>
                <w:kern w:val="0"/>
                <w:sz w:val="30"/>
                <w:szCs w:val="30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="宋体"/>
                <w:color w:val="000000"/>
                <w:kern w:val="0"/>
                <w:sz w:val="30"/>
                <w:szCs w:val="30"/>
                <w:lang w:val="en-US" w:eastAsia="zh-CN" w:bidi="ar"/>
              </w:rPr>
              <m:t>g</m:t>
            </m:r>
            <m:ctrlPr>
              <w:rPr>
                <w:rFonts w:ascii="Cambria Math" w:hAnsi="Cambria Math" w:cs="宋体"/>
                <w:bCs w:val="0"/>
                <w:i/>
                <w:color w:val="000000"/>
                <w:kern w:val="0"/>
                <w:sz w:val="30"/>
                <w:szCs w:val="30"/>
                <w:lang w:val="en-US" w:bidi="ar"/>
              </w:rPr>
            </m:ctrlPr>
          </m:sub>
        </m:sSub>
      </m:oMath>
      <w:r>
        <w:rPr>
          <w:rFonts w:hint="eastAsia" w:hAnsi="Cambria Math" w:cs="宋体"/>
          <w:bCs w:val="0"/>
          <w:i w:val="0"/>
          <w:color w:val="000000"/>
          <w:kern w:val="0"/>
          <w:sz w:val="30"/>
          <w:szCs w:val="30"/>
          <w:lang w:val="en-US" w:eastAsia="zh-CN" w:bidi="ar"/>
        </w:rPr>
        <w:t>的入射光，激发产生电子空穴对，使材料产生光电导效应。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hAnsi="Cambria Math" w:cs="宋体"/>
          <w:bCs w:val="0"/>
          <w:i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hAnsi="Cambria Math" w:cs="宋体"/>
          <w:bCs w:val="0"/>
          <w:i w:val="0"/>
          <w:color w:val="000000"/>
          <w:kern w:val="0"/>
          <w:sz w:val="30"/>
          <w:szCs w:val="30"/>
          <w:lang w:val="en-US" w:eastAsia="zh-CN" w:bidi="ar"/>
        </w:rPr>
        <w:t xml:space="preserve">杂质光电导：杂质半导体中的施主或者受主吸收光子能量后电离，产生自由电子或空穴，从而增加材料电导率的现象。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光电导效应属于内还是外光电效应？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属于内光电效应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Calibri" w:hAnsi="Calibri" w:eastAsia="宋体" w:cs="Calibri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PN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结型半导体的内建电场方向。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N→P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光热效应包括哪三种类型？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热释电效应、辐射热计效应、温差电效应。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>光电流的定义。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eastAsia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 xml:space="preserve"> 亮电流与暗电流的差值 </w:t>
      </w:r>
      <m:oMath>
        <m:sSub>
          <m:sSubPr>
            <m:ctrlPr>
              <w:rPr>
                <w:rFonts w:ascii="Cambria Math" w:hAnsi="Cambria Math" w:cs="宋体"/>
                <w:bCs w:val="0"/>
                <w:i/>
                <w:color w:val="000000"/>
                <w:kern w:val="0"/>
                <w:sz w:val="30"/>
                <w:szCs w:val="30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="宋体"/>
                <w:color w:val="000000"/>
                <w:kern w:val="0"/>
                <w:sz w:val="30"/>
                <w:szCs w:val="30"/>
                <w:lang w:val="en-US" w:eastAsia="zh-CN" w:bidi="ar"/>
              </w:rPr>
              <m:t>I</m:t>
            </m:r>
            <m:ctrlPr>
              <w:rPr>
                <w:rFonts w:ascii="Cambria Math" w:hAnsi="Cambria Math" w:cs="宋体"/>
                <w:bCs w:val="0"/>
                <w:i/>
                <w:color w:val="000000"/>
                <w:kern w:val="0"/>
                <w:sz w:val="30"/>
                <w:szCs w:val="30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="宋体"/>
                <w:color w:val="000000"/>
                <w:kern w:val="0"/>
                <w:sz w:val="30"/>
                <w:szCs w:val="30"/>
                <w:lang w:val="en-US" w:eastAsia="zh-CN" w:bidi="ar"/>
              </w:rPr>
              <m:t>p</m:t>
            </m:r>
            <m:ctrlPr>
              <w:rPr>
                <w:rFonts w:ascii="Cambria Math" w:hAnsi="Cambria Math" w:cs="宋体"/>
                <w:bCs w:val="0"/>
                <w:i/>
                <w:color w:val="000000"/>
                <w:kern w:val="0"/>
                <w:sz w:val="30"/>
                <w:szCs w:val="30"/>
                <w:lang w:val="en-US" w:bidi="ar"/>
              </w:rPr>
            </m:ctrlPr>
          </m:sub>
        </m:sSub>
        <m:r>
          <m:rPr/>
          <w:rPr>
            <w:rFonts w:hint="default" w:ascii="Cambria Math" w:hAnsi="Cambria Math" w:cs="宋体"/>
            <w:color w:val="000000"/>
            <w:kern w:val="0"/>
            <w:sz w:val="30"/>
            <w:szCs w:val="30"/>
            <w:lang w:val="en-US" w:eastAsia="zh-CN" w:bidi="ar"/>
          </w:rPr>
          <m:t>=</m:t>
        </m:r>
        <m:sSub>
          <m:sSubPr>
            <m:ctrlPr>
              <m:rPr/>
              <w:rPr>
                <w:rFonts w:hint="default" w:ascii="Cambria Math" w:hAnsi="Cambria Math" w:cs="宋体"/>
                <w:bCs w:val="0"/>
                <w:i/>
                <w:color w:val="000000"/>
                <w:kern w:val="0"/>
                <w:sz w:val="30"/>
                <w:szCs w:val="30"/>
                <w:lang w:val="en-US" w:eastAsia="zh-CN" w:bidi="ar"/>
              </w:rPr>
            </m:ctrlPr>
          </m:sSubPr>
          <m:e>
            <m:r>
              <m:rPr/>
              <w:rPr>
                <w:rFonts w:hint="default" w:ascii="Cambria Math" w:hAnsi="Cambria Math" w:cs="宋体"/>
                <w:color w:val="000000"/>
                <w:kern w:val="0"/>
                <w:sz w:val="30"/>
                <w:szCs w:val="30"/>
                <w:lang w:val="en-US" w:eastAsia="zh-CN" w:bidi="ar"/>
              </w:rPr>
              <m:t>I</m:t>
            </m:r>
            <m:ctrlPr>
              <m:rPr/>
              <w:rPr>
                <w:rFonts w:hint="default" w:ascii="Cambria Math" w:hAnsi="Cambria Math" w:cs="宋体"/>
                <w:bCs w:val="0"/>
                <w:i/>
                <w:color w:val="000000"/>
                <w:kern w:val="0"/>
                <w:sz w:val="30"/>
                <w:szCs w:val="30"/>
                <w:lang w:val="en-US" w:eastAsia="zh-CN" w:bidi="ar"/>
              </w:rPr>
            </m:ctrlPr>
          </m:e>
          <m:sub>
            <m:r>
              <m:rPr/>
              <w:rPr>
                <w:rFonts w:hint="default" w:ascii="Cambria Math" w:hAnsi="Cambria Math" w:cs="宋体"/>
                <w:color w:val="000000"/>
                <w:kern w:val="0"/>
                <w:sz w:val="30"/>
                <w:szCs w:val="30"/>
                <w:lang w:val="en-US" w:eastAsia="zh-CN" w:bidi="ar"/>
              </w:rPr>
              <m:t>l</m:t>
            </m:r>
            <m:ctrlPr>
              <m:rPr/>
              <w:rPr>
                <w:rFonts w:hint="default" w:ascii="Cambria Math" w:hAnsi="Cambria Math" w:cs="宋体"/>
                <w:bCs w:val="0"/>
                <w:i/>
                <w:color w:val="000000"/>
                <w:kern w:val="0"/>
                <w:sz w:val="30"/>
                <w:szCs w:val="30"/>
                <w:lang w:val="en-US" w:eastAsia="zh-CN" w:bidi="ar"/>
              </w:rPr>
            </m:ctrlPr>
          </m:sub>
        </m:sSub>
        <m:r>
          <m:rPr/>
          <w:rPr>
            <w:rFonts w:hint="default" w:ascii="Cambria Math" w:hAnsi="Cambria Math" w:cs="宋体"/>
            <w:color w:val="000000"/>
            <w:kern w:val="0"/>
            <w:sz w:val="30"/>
            <w:szCs w:val="30"/>
            <w:lang w:val="en-US" w:eastAsia="zh-CN" w:bidi="ar"/>
          </w:rPr>
          <m:t>−</m:t>
        </m:r>
        <m:sSub>
          <m:sSubPr>
            <m:ctrlPr>
              <m:rPr/>
              <w:rPr>
                <w:rFonts w:hint="default" w:ascii="Cambria Math" w:hAnsi="Cambria Math" w:cs="宋体"/>
                <w:bCs w:val="0"/>
                <w:i/>
                <w:color w:val="000000"/>
                <w:kern w:val="0"/>
                <w:sz w:val="30"/>
                <w:szCs w:val="30"/>
                <w:lang w:val="en-US" w:eastAsia="zh-CN" w:bidi="ar"/>
              </w:rPr>
            </m:ctrlPr>
          </m:sSubPr>
          <m:e>
            <m:r>
              <m:rPr/>
              <w:rPr>
                <w:rFonts w:hint="default" w:ascii="Cambria Math" w:hAnsi="Cambria Math" w:cs="宋体"/>
                <w:color w:val="000000"/>
                <w:kern w:val="0"/>
                <w:sz w:val="30"/>
                <w:szCs w:val="30"/>
                <w:lang w:val="en-US" w:eastAsia="zh-CN" w:bidi="ar"/>
              </w:rPr>
              <m:t>I</m:t>
            </m:r>
            <m:ctrlPr>
              <m:rPr/>
              <w:rPr>
                <w:rFonts w:hint="default" w:ascii="Cambria Math" w:hAnsi="Cambria Math" w:cs="宋体"/>
                <w:bCs w:val="0"/>
                <w:i/>
                <w:color w:val="000000"/>
                <w:kern w:val="0"/>
                <w:sz w:val="30"/>
                <w:szCs w:val="30"/>
                <w:lang w:val="en-US" w:eastAsia="zh-CN" w:bidi="ar"/>
              </w:rPr>
            </m:ctrlPr>
          </m:e>
          <m:sub>
            <m:r>
              <m:rPr/>
              <w:rPr>
                <w:rFonts w:hint="default" w:ascii="Cambria Math" w:hAnsi="Cambria Math" w:cs="宋体"/>
                <w:color w:val="000000"/>
                <w:kern w:val="0"/>
                <w:sz w:val="30"/>
                <w:szCs w:val="30"/>
                <w:lang w:val="en-US" w:eastAsia="zh-CN" w:bidi="ar"/>
              </w:rPr>
              <m:t>d</m:t>
            </m:r>
            <m:ctrlPr>
              <m:rPr/>
              <w:rPr>
                <w:rFonts w:hint="default" w:ascii="Cambria Math" w:hAnsi="Cambria Math" w:cs="宋体"/>
                <w:bCs w:val="0"/>
                <w:i/>
                <w:color w:val="000000"/>
                <w:kern w:val="0"/>
                <w:sz w:val="30"/>
                <w:szCs w:val="30"/>
                <w:lang w:val="en-US" w:eastAsia="zh-CN" w:bidi="ar"/>
              </w:rPr>
            </m:ctrlPr>
          </m:sub>
        </m:sSub>
      </m:oMath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热释电效应的定义。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介质的极化强度随温度的变化而变化，引起表面电荷变化的现象</w:t>
      </w:r>
    </w:p>
    <w:p>
      <w:pPr>
        <w:keepNext w:val="0"/>
        <w:keepLines w:val="0"/>
        <w:widowControl/>
        <w:suppressLineNumbers w:val="0"/>
        <w:jc w:val="left"/>
        <w:rPr>
          <w:b/>
          <w:bCs/>
          <w:sz w:val="30"/>
          <w:szCs w:val="30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第三章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光电器件按工作波段可分为哪三类？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紫外光探测器、可见光探测器、红外光探测器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光敏电阻的光电导灵敏度与光敏电阻两电极间距离的关系；光敏电阻两极间距离特点。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光敏电阻在弱光辐射下光电导灵敏度Sg与光敏电阻两电极间距离l的平方成反比 ，在强辐射作用下Sg与l的二分之三次方成反比。距离l减少，灵敏度提高。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本征型和杂质型半导体光敏电阻工作的波段。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 xml:space="preserve">本征型：用于可见光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杂质型：用于红外波段和远红外波段的辐射监测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掌握计算光敏电阻的暗电阻、亮电阻、光电导。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光电导：</w:t>
      </w:r>
      <m:oMath>
        <m:sSub>
          <m:sSubPr>
            <m:ctrlPr>
              <w:rPr>
                <w:rFonts w:ascii="Cambria Math" w:hAnsi="Cambria Math" w:cs="宋体"/>
                <w:bCs w:val="0"/>
                <w:i/>
                <w:color w:val="000000"/>
                <w:kern w:val="0"/>
                <w:sz w:val="30"/>
                <w:szCs w:val="30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="宋体"/>
                <w:color w:val="000000"/>
                <w:kern w:val="0"/>
                <w:sz w:val="30"/>
                <w:szCs w:val="30"/>
                <w:lang w:val="en-US" w:eastAsia="zh-CN" w:bidi="ar"/>
              </w:rPr>
              <m:t>G</m:t>
            </m:r>
            <m:ctrlPr>
              <w:rPr>
                <w:rFonts w:ascii="Cambria Math" w:hAnsi="Cambria Math" w:cs="宋体"/>
                <w:bCs w:val="0"/>
                <w:i/>
                <w:color w:val="000000"/>
                <w:kern w:val="0"/>
                <w:sz w:val="30"/>
                <w:szCs w:val="30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="宋体"/>
                <w:color w:val="000000"/>
                <w:kern w:val="0"/>
                <w:sz w:val="30"/>
                <w:szCs w:val="30"/>
                <w:lang w:val="en-US" w:eastAsia="zh-CN" w:bidi="ar"/>
              </w:rPr>
              <m:t>p</m:t>
            </m:r>
            <m:ctrlPr>
              <w:rPr>
                <w:rFonts w:ascii="Cambria Math" w:hAnsi="Cambria Math" w:cs="宋体"/>
                <w:bCs w:val="0"/>
                <w:i/>
                <w:color w:val="000000"/>
                <w:kern w:val="0"/>
                <w:sz w:val="30"/>
                <w:szCs w:val="30"/>
                <w:lang w:val="en-US" w:bidi="ar"/>
              </w:rPr>
            </m:ctrlPr>
          </m:sub>
        </m:sSub>
        <m:r>
          <m:rPr/>
          <w:rPr>
            <w:rFonts w:hint="default" w:ascii="Cambria Math" w:hAnsi="Cambria Math" w:cs="宋体"/>
            <w:color w:val="000000"/>
            <w:kern w:val="0"/>
            <w:sz w:val="30"/>
            <w:szCs w:val="30"/>
            <w:lang w:val="en-US" w:eastAsia="zh-CN" w:bidi="ar"/>
          </w:rPr>
          <m:t>=</m:t>
        </m:r>
        <m:sSub>
          <m:sSubPr>
            <m:ctrlPr>
              <w:rPr>
                <w:rFonts w:ascii="Cambria Math" w:hAnsi="Cambria Math" w:cs="宋体"/>
                <w:bCs w:val="0"/>
                <w:i/>
                <w:color w:val="000000"/>
                <w:kern w:val="0"/>
                <w:sz w:val="30"/>
                <w:szCs w:val="30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="宋体"/>
                <w:color w:val="000000"/>
                <w:kern w:val="0"/>
                <w:sz w:val="30"/>
                <w:szCs w:val="30"/>
                <w:lang w:val="en-US" w:eastAsia="zh-CN" w:bidi="ar"/>
              </w:rPr>
              <m:t>G</m:t>
            </m:r>
            <m:ctrlPr>
              <w:rPr>
                <w:rFonts w:ascii="Cambria Math" w:hAnsi="Cambria Math" w:cs="宋体"/>
                <w:bCs w:val="0"/>
                <w:i/>
                <w:color w:val="000000"/>
                <w:kern w:val="0"/>
                <w:sz w:val="30"/>
                <w:szCs w:val="30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="宋体"/>
                <w:color w:val="000000"/>
                <w:kern w:val="0"/>
                <w:sz w:val="30"/>
                <w:szCs w:val="30"/>
                <w:lang w:val="en-US" w:eastAsia="zh-CN" w:bidi="ar"/>
              </w:rPr>
              <m:t>l</m:t>
            </m:r>
            <m:ctrlPr>
              <w:rPr>
                <w:rFonts w:ascii="Cambria Math" w:hAnsi="Cambria Math" w:cs="宋体"/>
                <w:bCs w:val="0"/>
                <w:i/>
                <w:color w:val="000000"/>
                <w:kern w:val="0"/>
                <w:sz w:val="30"/>
                <w:szCs w:val="30"/>
                <w:lang w:val="en-US" w:bidi="ar"/>
              </w:rPr>
            </m:ctrlPr>
          </m:sub>
        </m:sSub>
        <m:r>
          <m:rPr/>
          <w:rPr>
            <w:rFonts w:hint="default" w:ascii="Cambria Math" w:hAnsi="Cambria Math" w:cs="宋体"/>
            <w:color w:val="000000"/>
            <w:kern w:val="0"/>
            <w:sz w:val="30"/>
            <w:szCs w:val="30"/>
            <w:lang w:val="en-US" w:eastAsia="zh-CN" w:bidi="ar"/>
          </w:rPr>
          <m:t>−</m:t>
        </m:r>
        <m:sSub>
          <m:sSubPr>
            <m:ctrlPr>
              <w:rPr>
                <w:rFonts w:ascii="Cambria Math" w:hAnsi="Cambria Math" w:cs="宋体"/>
                <w:bCs w:val="0"/>
                <w:i/>
                <w:color w:val="000000"/>
                <w:kern w:val="0"/>
                <w:sz w:val="30"/>
                <w:szCs w:val="30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="宋体"/>
                <w:color w:val="000000"/>
                <w:kern w:val="0"/>
                <w:sz w:val="30"/>
                <w:szCs w:val="30"/>
                <w:lang w:val="en-US" w:eastAsia="zh-CN" w:bidi="ar"/>
              </w:rPr>
              <m:t>G</m:t>
            </m:r>
            <m:ctrlPr>
              <w:rPr>
                <w:rFonts w:ascii="Cambria Math" w:hAnsi="Cambria Math" w:cs="宋体"/>
                <w:bCs w:val="0"/>
                <w:i/>
                <w:color w:val="000000"/>
                <w:kern w:val="0"/>
                <w:sz w:val="30"/>
                <w:szCs w:val="30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="宋体"/>
                <w:color w:val="000000"/>
                <w:kern w:val="0"/>
                <w:sz w:val="30"/>
                <w:szCs w:val="30"/>
                <w:lang w:val="en-US" w:eastAsia="zh-CN" w:bidi="ar"/>
              </w:rPr>
              <m:t>d</m:t>
            </m:r>
            <m:ctrlPr>
              <m:rPr/>
              <w:rPr>
                <w:rFonts w:hint="default" w:ascii="Cambria Math" w:hAnsi="Cambria Math" w:cs="宋体"/>
                <w:bCs w:val="0"/>
                <w:i/>
                <w:color w:val="000000"/>
                <w:kern w:val="0"/>
                <w:sz w:val="30"/>
                <w:szCs w:val="30"/>
                <w:lang w:val="en-US" w:eastAsia="zh-CN" w:bidi="ar"/>
              </w:rPr>
            </m:ctrlPr>
          </m:sub>
        </m:sSub>
      </m:oMath>
      <w:r>
        <m:rPr/>
        <w:rPr>
          <w:rFonts w:hint="eastAsia" w:hAnsi="Cambria Math" w:cs="宋体"/>
          <w:bCs w:val="0"/>
          <w:i w:val="0"/>
          <w:color w:val="000000"/>
          <w:kern w:val="0"/>
          <w:sz w:val="30"/>
          <w:szCs w:val="30"/>
          <w:lang w:val="en-US" w:eastAsia="zh-CN" w:bidi="ar"/>
        </w:rPr>
        <w:t xml:space="preserve">        G=1/R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>光生伏特器件特点；光生伏特器件的种类。光电池的频率特性。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特点：暗电流小、噪声低、响应速度快、光电特性的线性好、受温度的影响小等。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种类：硅光电池、光电二极管、PIN型光电二极管、 雪崩光电二极管、光电三极管……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频率特性：由于光电池PN结面积较大，极间电容大，故频率特性较差。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光电发射器件包括哪两类？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光电管、光电倍增管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光电耦合器件的构成结构。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光电耦合器件是发光器件与光接收器件组合的一种器件。</w:t>
      </w:r>
      <w:r>
        <w:drawing>
          <wp:inline distT="0" distB="0" distL="114300" distR="114300">
            <wp:extent cx="4724400" cy="2331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b/>
          <w:bCs/>
          <w:sz w:val="30"/>
          <w:szCs w:val="30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第五章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直接检测方法对输入信噪比改善情况，及适宜的光信号检测场景。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30"/>
          <w:szCs w:val="30"/>
          <w:lang w:val="en-US" w:eastAsia="zh-CN" w:bidi="ar"/>
        </w:rPr>
        <w:t>直接检测方法不能改善输入信噪比。它对不是十分微弱光信号的检测是很适宜的检测方法。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莫尔条纹移过的条纹数与光栅移过的刻线数的关系。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莫尔条纹移过的条纹数与光栅移过的刻线数相等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光电直接检测的原理。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利用光强度携带信息，将光强度转换为电信号，解调电路检出信息。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光检测器的平方律特性。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光电流正比于光电场振幅的平方，电输出功率正比于入射光功率的平方。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掌握计算莫尔条纹间距、莫尔条纹移动距离。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19700" cy="1112520"/>
            <wp:effectExtent l="0" t="0" r="762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23160" cy="1758950"/>
            <wp:effectExtent l="0" t="0" r="0" b="889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05705" cy="2540000"/>
            <wp:effectExtent l="0" t="0" r="8255" b="508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5058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莫尔纹移动： L=（▲m/p）*m=K*m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直接检测系统的半视场角和视场角立体角。 </w:t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cs="宋体" w:eastAsiaTheme="minorEastAsia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半视场角：</w:t>
      </w:r>
      <w:r>
        <w:drawing>
          <wp:inline distT="0" distB="0" distL="114300" distR="114300">
            <wp:extent cx="1142365" cy="720090"/>
            <wp:effectExtent l="0" t="0" r="63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2365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Cambria Math" w:cs="宋体"/>
          <w:bCs w:val="0"/>
          <w:i w:val="0"/>
          <w:color w:val="000000"/>
          <w:kern w:val="0"/>
          <w:sz w:val="30"/>
          <w:szCs w:val="30"/>
          <w:lang w:val="en-US" w:bidi="ar"/>
        </w:rPr>
        <w:t xml:space="preserve"> </w:t>
      </w:r>
      <w:r>
        <w:rPr>
          <w:rFonts w:hint="eastAsia" w:hAnsi="Cambria Math" w:cs="宋体"/>
          <w:bCs w:val="0"/>
          <w:i w:val="0"/>
          <w:color w:val="000000"/>
          <w:kern w:val="0"/>
          <w:sz w:val="30"/>
          <w:szCs w:val="30"/>
          <w:lang w:val="en-US" w:eastAsia="zh-CN" w:bidi="ar"/>
        </w:rPr>
        <w:t xml:space="preserve">视场立体角： </w:t>
      </w:r>
      <w:r>
        <w:drawing>
          <wp:inline distT="0" distB="0" distL="114300" distR="114300">
            <wp:extent cx="1016000" cy="582930"/>
            <wp:effectExtent l="0" t="0" r="508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b/>
          <w:bCs/>
          <w:sz w:val="30"/>
          <w:szCs w:val="30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第六章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什么是零差探测？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drawing>
          <wp:inline distT="0" distB="0" distL="114300" distR="114300">
            <wp:extent cx="5271770" cy="998220"/>
            <wp:effectExtent l="0" t="0" r="127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光外差检测的频率条件；光外差检测对信号光和本振光的要求。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需要采取专门措施稳定信号光和本振光的频率。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要求：1、信号光和本征光的波前必须重合，也就是说，必须保持信号光和本征光再空间上的角准直。  2、信号光和本征光具有高度的单色性和频率稳定度。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光外差检测系统可否用于光子计数？ 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答：可以。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光外差检测的 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5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个特性。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210"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 xml:space="preserve"> 1、 光外差检测可获得全部信息。2、光外差检测转换增益高。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50"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3、良好的滤波性能。4、信噪比损失小。5、最小可检测功率。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掌握计算光外差检测系统的中频输出有效信号功率 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30"/>
          <w:szCs w:val="30"/>
          <w:lang w:val="en-US" w:eastAsia="zh-CN" w:bidi="ar"/>
        </w:rPr>
        <w:t>PC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drawing>
          <wp:inline distT="0" distB="0" distL="114300" distR="114300">
            <wp:extent cx="5113020" cy="10591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>光外差检测的最小可检测功率（等效噪声功率）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30"/>
          <w:szCs w:val="30"/>
          <w:lang w:val="en-US" w:eastAsia="zh-CN" w:bidi="ar"/>
        </w:rPr>
        <w:t>NEP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；光外差检测转换增益 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G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的表达式。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512820" cy="93726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606040" cy="84582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光外差检测在高频光波时的特点。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 xml:space="preserve"> 当光波频率很高时，每个光子的能量很大，很容易被检测出来，这是光外差检测技术并不特别有用。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影响光外差检测灵敏度的两个因素。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光外差检测的空间条件、光外差检测的频率条件。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b/>
          <w:bCs/>
          <w:sz w:val="30"/>
          <w:szCs w:val="30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第 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7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章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单模光纤的纤芯直径和包层直径尺寸大小。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纤芯：直径在8～10μm。包层:直径100-200um折射率略低于纤芯.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光纤的归一化频率和传播模式的关系；光纤中的三种散射类型。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归一化频率越大，光纤所允许传播的模式越多，当V&lt;2.405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时，光纤中只允许一个模式传播，即基模。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散射类型：瑞利散射、布里渊散射、拉曼散射。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克尔效应、普克耳效应、光弹效应、法拉第磁光效应的定义。 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jc w:val="left"/>
        <w:rPr>
          <w:rFonts w:hint="eastAsia" w:ascii="黑体" w:hAnsi="黑体" w:eastAsia="黑体" w:cs="黑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克尔效应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：克尔效应也称为平方电光效应，它发生在一切物质中。当外加电场作用在各向同性的透明物质上时，各向同性物质的光学性质发生变化，变成具有双折射现象的各向异性特性，并且与单轴晶体的情况相同。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left="420" w:leftChars="0" w:hanging="420" w:firstLine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普克耳效应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：当强电场施加于光正在穿行的各向异性晶体时，所引起的感生双折射正比于所加电场的一次方，称为线性电光效应，或普克耳效应。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光弹效应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：在垂直于光波传播方向上施加应力，被施加应力的材料将会使光产生双折射现象，其折射率的变化与应力材关，这被称为光弹效应。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ind w:left="420" w:leftChars="0" w:hanging="420" w:firstLine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法拉第磁光效应：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某些物质在磁场作用下，线偏振光通过时其振动面会发生旋转，这种现象称为法拉第效应。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多模光纤色散特点。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多模色散是由于光纤不同模式在同一波长下传播速度不同，使传播时延不同而产生的色散。只有多模光纤才存在模式色散，它主要取决于光纤的折射率分布。对于多模光纤，既有多模色散，又有模内色散，但主要以多模色散为主。梯度型光纤中模式色散大为减少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>迈克尔逊和马赫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30"/>
          <w:szCs w:val="30"/>
          <w:lang w:val="en-US" w:eastAsia="zh-CN" w:bidi="ar"/>
        </w:rPr>
        <w:t>-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泽德干涉仪结构示意图（全光纤和分离器件两种）。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迈克尔逊：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4945380" cy="337566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3675" cy="1882775"/>
            <wp:effectExtent l="0" t="0" r="1460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马赫-泽德干涉仪：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04460" cy="387096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121535"/>
            <wp:effectExtent l="0" t="0" r="635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掌握如何分辨光纤模式，给出对应的模式表达式。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drawing>
          <wp:inline distT="0" distB="0" distL="114300" distR="114300">
            <wp:extent cx="5273675" cy="1878965"/>
            <wp:effectExtent l="0" t="0" r="1460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160395"/>
            <wp:effectExtent l="0" t="0" r="1460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光纤电流传感器的工作原理；光纤角速度传感器的工作原理。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光纤电流传感器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：基本原理是利用光纤材料的法拉第旋光效应，即处于磁场中的光纤会使在光纤中传输的偏振光发生偏振面的旋转，其旋转角度θ与磁场强度H、磁场中光纤的长度L成正比。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光纤角速度传感器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：萨格纳克效应。在同一闭合光路中从同一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光源发出的两束特征相等的光，以相反的方向进行传播，最后汇合到同一探测点。 若绕垂直于闭合光路所在平面的轴线，相对惯性空间存在着转动角速度，则正、反方向传播的光束走过的光程不同，就产生光程差，其光程差与旋转的角速度成正比。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>分布式光纤传感器相比于点式传感器的优点。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0"/>
          <w:szCs w:val="30"/>
          <w:lang w:val="en-US" w:eastAsia="zh-CN" w:bidi="ar"/>
        </w:rPr>
        <w:t>分布式光纤传感器与点式传感器相比，单位长度内信息获取成本大大降低，性价比高。</w:t>
      </w:r>
    </w:p>
    <w:p>
      <w:pPr>
        <w:rPr>
          <w:rFonts w:hint="default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3B5E38"/>
    <w:multiLevelType w:val="singleLevel"/>
    <w:tmpl w:val="993B5E3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D325470"/>
    <w:multiLevelType w:val="singleLevel"/>
    <w:tmpl w:val="1D32547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1D6E2460"/>
    <w:multiLevelType w:val="singleLevel"/>
    <w:tmpl w:val="1D6E2460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2BC7EFDF"/>
    <w:multiLevelType w:val="singleLevel"/>
    <w:tmpl w:val="2BC7EFD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2C9B0F30"/>
    <w:multiLevelType w:val="singleLevel"/>
    <w:tmpl w:val="2C9B0F30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373828B0"/>
    <w:multiLevelType w:val="singleLevel"/>
    <w:tmpl w:val="373828B0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421BC8A4"/>
    <w:multiLevelType w:val="singleLevel"/>
    <w:tmpl w:val="421BC8A4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53B64E26"/>
    <w:multiLevelType w:val="singleLevel"/>
    <w:tmpl w:val="53B64E2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70D7FFA3"/>
    <w:multiLevelType w:val="singleLevel"/>
    <w:tmpl w:val="70D7FFA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7BFC89CD"/>
    <w:multiLevelType w:val="singleLevel"/>
    <w:tmpl w:val="7BFC89CD"/>
    <w:lvl w:ilvl="0" w:tentative="0">
      <w:start w:val="1"/>
      <w:numFmt w:val="decimal"/>
      <w:suff w:val="nothing"/>
      <w:lvlText w:val="%1．"/>
      <w:lvlJc w:val="left"/>
    </w:lvl>
  </w:abstractNum>
  <w:num w:numId="1">
    <w:abstractNumId w:val="5"/>
  </w:num>
  <w:num w:numId="2">
    <w:abstractNumId w:val="4"/>
  </w:num>
  <w:num w:numId="3">
    <w:abstractNumId w:val="9"/>
  </w:num>
  <w:num w:numId="4">
    <w:abstractNumId w:val="2"/>
  </w:num>
  <w:num w:numId="5">
    <w:abstractNumId w:val="0"/>
  </w:num>
  <w:num w:numId="6">
    <w:abstractNumId w:val="6"/>
  </w:num>
  <w:num w:numId="7">
    <w:abstractNumId w:val="8"/>
  </w:num>
  <w:num w:numId="8">
    <w:abstractNumId w:val="7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9AF5B8C"/>
    <w:rsid w:val="1F6C6406"/>
    <w:rsid w:val="224B4FC9"/>
    <w:rsid w:val="2768756C"/>
    <w:rsid w:val="3E70189B"/>
    <w:rsid w:val="51DE701C"/>
    <w:rsid w:val="544467E1"/>
    <w:rsid w:val="61BC2507"/>
    <w:rsid w:val="6E2C7ED0"/>
    <w:rsid w:val="728C0F99"/>
    <w:rsid w:val="7CBB3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2021-06-15T13:13:00Z</dcterms:created>
  <dc:creator>白犬</dc:creator>
  <cp:lastModifiedBy>白犬</cp:lastModifiedBy>
  <dcterms:modified xsi:type="dcterms:W3CDTF">2021-06-17T16:26:39Z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5BBD2F05705A45E59968A6EBA142D80B</vt:lpwstr>
  </property>
</Properties>
</file>