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概要设计说明书</w:t>
      </w:r>
    </w:p>
    <w:p/>
    <w:p>
      <w:pPr>
        <w:pStyle w:val="Heading1"/>
      </w:pPr>
      <w:r>
        <w:t>1 文档概述</w:t>
      </w:r>
    </w:p>
    <w:p>
      <w:pPr>
        <w:pStyle w:val="Heading2"/>
      </w:pPr>
      <w:r>
        <w:t>1.1 文档目的和范围</w:t>
      </w:r>
    </w:p>
    <w:p>
      <w:pPr>
        <w:jc w:val="both"/>
      </w:pPr>
      <w:r>
        <w:t>本文档依据项目说明书与需求矩阵编写，给出系统的概要设计：总体结构、模块功能与内部结构、核心数据结构与模块间接口，使设计者在详细设计与编码时可以参考。</w:t>
      </w:r>
    </w:p>
    <w:p>
      <w:pPr>
        <w:jc w:val="both"/>
      </w:pPr>
      <w:r>
        <w:t>系统由 Qt 充电用户端、Qt 运营管理端、Socket 服务端（独占数据库访问）、SQLite 数据库与 Web 数据大屏五部分组成。Qt 两端不直接访问数据库、互不直接通信，一切业务数据经 Socket 服务端中转；Web 大屏只读。</w:t>
      </w:r>
    </w:p>
    <w:p>
      <w:pPr>
        <w:pStyle w:val="Heading2"/>
      </w:pPr>
      <w:r>
        <w:t>1.2 术语/缩略语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4"/>
              </w:rPr>
              <w:t>术语/缩略语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Qt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Linux 桌面端界面与业务交互框架，本项目按 Qt 5.15 / Qt 6.2 双兼容开发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Socket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Qt 客户端与服务端之间的 TCP 长连接通信，JSON 消息以 \n 分包，UTF-8 编码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SQLite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保存用户、站点、电桩、订单和管理员等数据的本地数据库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QWebEngineView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在 Qt 用户端中加载腾讯地图导航页面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ECharts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Web 数据大屏使用的图表库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订单状态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已预约、充电中、待结算、已完成、已取消五种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seq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消息序号：请求方从 1 开始单调递增，响应原样带回用于对号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会话角色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连接登录成功后获得 user 或 admin 角色，决定该连接可用的消息范围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模拟验证码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登录验证码由系统自行生成并在界面模拟下发，不调用外部短信接口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逻辑删除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删除仅打标记、不物理移除，历史数据保留；站点、电桩、用户的删除均采用</w:t>
            </w:r>
          </w:p>
        </w:tc>
      </w:tr>
    </w:tbl>
    <w:p>
      <w:pPr>
        <w:pStyle w:val="Heading2"/>
      </w:pPr>
      <w:r>
        <w:t>1.3 参考文档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/>
                <w:sz w:val="24"/>
              </w:rPr>
              <w:t>文档名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4"/>
              </w:rPr>
              <w:t>作者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4"/>
              </w:rPr>
              <w:t>版本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4"/>
              </w:rPr>
              <w:t>项目说明书-东软电动汽车充电桩应用管理平台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课程组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2026.8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4"/>
              </w:rPr>
              <w:t>Ver1.0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4"/>
              </w:rPr>
              <w:t>需求矩阵第13组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第13组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2026.9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4"/>
              </w:rPr>
              <w:t>—</w:t>
            </w:r>
          </w:p>
        </w:tc>
      </w:tr>
    </w:tbl>
    <w:p>
      <w:pPr>
        <w:pStyle w:val="Heading1"/>
      </w:pPr>
      <w:r>
        <w:t>2 系统结构图</w:t>
      </w:r>
    </w:p>
    <w:p>
      <w:pPr>
        <w:jc w:val="both"/>
      </w:pPr>
      <w:r>
        <w:t>系统采用分层结构：Qt 用户端与 Qt 管理端通过 TCP 长连接访问 Socket 服务端，服务端独占读写 SQLite 数据库；Web 大屏通过服务端 HTTP 只读接口获取汇总数据。腾讯地图地址解析与路线规划由用户端直接调用，不经过业务服务端。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tmp_fig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图2-1 系统结构图</w:t>
      </w:r>
    </w:p>
    <w:p>
      <w:pPr>
        <w:pStyle w:val="Heading1"/>
      </w:pPr>
      <w:r>
        <w:t>3 模块详细概述</w:t>
      </w:r>
    </w:p>
    <w:p>
      <w:pPr>
        <w:pStyle w:val="Heading2"/>
      </w:pPr>
      <w:r>
        <w:t>3.1 Qt 充电用户端模块</w:t>
      </w:r>
    </w:p>
    <w:p>
      <w:pPr>
        <w:pStyle w:val="Heading3"/>
      </w:pPr>
      <w:r>
        <w:t>3.1.1 模块功能定义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4"/>
              </w:rPr>
              <w:t>功能点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/>
                <w:sz w:val="24"/>
              </w:rPr>
              <w:t>功能点详细内容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4"/>
              </w:rPr>
              <w:t>账号与钱包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sz w:val="24"/>
              </w:rPr>
              <w:t>「手机号+密码」或「手机号+模拟验证码」登录；手机号不存在时自动注册（默认昵称「用户+手机号后4位」）并引导设置密码；资料展示与修改（头像、昵称）；登录状态下修改密码；模拟充值；退出登录；已冻结账号拒绝登录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4"/>
              </w:rPr>
              <w:t>找站与导航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sz w:val="24"/>
              </w:rPr>
              <w:t>区域下拉或手动地址经腾讯地图解析为坐标，按距离由近及远展示附近站点（站名、价格、总桩数/空闲数、距离）；点击站点查看站内电桩详情（编号、类型、状态、功率）；加载腾讯地图展示驾车/步行路线；地图不可用时以预设坐标或路线降级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4"/>
              </w:rPr>
              <w:t>充电流程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sz w:val="24"/>
              </w:rPr>
              <w:t>进入充电页面前检查未完成订单（有则弹窗并强制跳转结算）；预约空闲电桩（电桩置为在用）、开始充电、停止后系统模拟计费、余额充足时结算并释放电桩；预约未开始可取消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4"/>
              </w:rPr>
              <w:t>订单记录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sz w:val="24"/>
              </w:rPr>
              <w:t>按预约时间倒序分页展示本人历史订单（状态、电量、金额与各阶段时间）</w:t>
            </w:r>
          </w:p>
        </w:tc>
      </w:tr>
    </w:tbl>
    <w:p>
      <w:pPr>
        <w:jc w:val="center"/>
      </w:pPr>
      <w:r>
        <w:t>表3-1 模块功能描述</w:t>
      </w:r>
    </w:p>
    <w:p>
      <w:pPr>
        <w:pStyle w:val="Heading3"/>
      </w:pPr>
      <w:r>
        <w:t>3.1.2 模块结构</w:t>
      </w:r>
    </w:p>
    <w:p>
      <w:pPr>
        <w:jc w:val="both"/>
      </w:pPr>
      <w:r>
        <w:t>用户端由四个页面模块与通信、地图、数据三个支撑模块组成，统一经 SocketClient 与服务端交互：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10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tmp_fig3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图3-1 用户端模块结构图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模块名称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4"/>
              </w:rPr>
              <w:t>模块类型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/>
                <w:sz w:val="24"/>
              </w:rPr>
              <w:t>概要说明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LoginPage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界面模块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手机号+密码 / 手机号+验证码登录，新手机号自动注册并引导设置密码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FindStationPage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界面模块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附近站点、地址解析、电桩详情和地图导航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ChargingPage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核心模块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驱动预约—充电—计费—结算页面，含未完成订单检查与取消预约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MyPage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界面模块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资料展示与修改、修改密码、模拟充值、订单记录、退出登录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SocketClient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通信模块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JSON 消息收发、seq 对号、15 秒心跳、断线 3 秒自动重连并重新登录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MapBridge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地图模块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QWebEngineView 与腾讯地图桥接（resources/map.html）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models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内部模块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JSON 对象解析（用户、站点、电桩、订单）与本地配置</w:t>
            </w:r>
          </w:p>
        </w:tc>
      </w:tr>
    </w:tbl>
    <w:p>
      <w:pPr>
        <w:jc w:val="both"/>
      </w:pPr>
      <w:r>
        <w:t>模块动作时序（充电业务主流程）：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46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tmp_fig3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图3-2 充电业务主流程</w:t>
      </w:r>
    </w:p>
    <w:p>
      <w:pPr>
        <w:pStyle w:val="Heading2"/>
      </w:pPr>
      <w:r>
        <w:t>3.2 Qt 运营管理端模块</w:t>
      </w:r>
    </w:p>
    <w:p>
      <w:pPr>
        <w:pStyle w:val="Heading3"/>
      </w:pPr>
      <w:r>
        <w:t>3.2.1 模块功能定义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4"/>
              </w:rPr>
              <w:t>功能点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/>
                <w:sz w:val="24"/>
              </w:rPr>
              <w:t>功能点详细内容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登录与营收首页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管理员账号密码登录（初始 admin/123456）；管理员修改本人密码；今日/本月/总营收指标卡；近 7 日/30 日营收趋势折线图（Qt Charts），可切换时间维度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设备管理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电桩状态数量与占比总览；电桩列表（编号、所属站、类型、功率、状态、累计充电次数/时长，按站点筛选）；故障电桩远程重启模拟；电桩新增（编号全局唯一）、修改（类型/功率）、删除（仅空闲且无未完成订单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站点管理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站点列表（站名、地址、经纬度、单价、总桩数、在线率）；双击查看站内电桩实时状态；新增站点（事务生成模拟电桩）；修改站点（经纬度与 ID 不可改）；删除站点（站内电桩一并移除，历史订单保留）；站名模糊搜索与分页（默认每页 20）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用户管理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按手机号模糊查询用户（ID、手机号、昵称、余额、注册时间、状态）；冻结/解冻（有未完成订单不可冻结）；新增用户（设置初始密码）；修改用户信息（昵称/手机号）与重置密码；删除用户（有未完成订单不可删除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订单管理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sz w:val="24"/>
              </w:rPr>
              <w:t>全部订单分页查询（手机号、订单状态、日期范围组合筛选）；订单详情（各阶段时间、电量、单价、金额及关联对象），用于营收核对与客诉处理</w:t>
            </w:r>
          </w:p>
        </w:tc>
      </w:tr>
    </w:tbl>
    <w:p>
      <w:pPr>
        <w:jc w:val="center"/>
      </w:pPr>
      <w:r>
        <w:t>表3-3 模块功能描述</w:t>
      </w:r>
    </w:p>
    <w:p>
      <w:pPr>
        <w:pStyle w:val="Heading3"/>
      </w:pPr>
      <w:r>
        <w:t>3.2.2 模块结构</w:t>
      </w:r>
    </w:p>
    <w:p>
      <w:pPr>
        <w:jc w:val="both"/>
      </w:pPr>
      <w:r>
        <w:t>管理端为宽屏 PC 后台布局：左侧导航加页面容器，各功能页统一经 SocketClient 与服务端交互：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061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tmp_fig3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图3-3 管理端模块结构图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模块名称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4"/>
              </w:rPr>
              <w:t>模块类型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/>
                <w:sz w:val="24"/>
              </w:rPr>
              <w:t>概要说明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LoginWindow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界面模块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管理员登录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MainWindow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界面模块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左侧深色导航＋QStackedWidget 页面容器；状态栏显示连接状态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SalesPage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界面模块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营收指标卡与 7/30 日趋势折线图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PileStatusPage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界面模块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电桩状态总览（数量与占比）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PileManagePage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界面模块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电桩列表、远程重启、电桩增删改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StationPage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界面模块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站点列表/详情/新增/修改/删除/搜索分页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UserPage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界面模块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用户查询、冻结/解冻、增删改与重置密码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OrderPage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界面模块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订单列表筛选与订单详情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SocketClient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通信模块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JSON 收发、15 秒心跳、断线 3 秒自动重连并重新登录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UiEnums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内部模块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4"/>
              </w:rPr>
              <w:t>英文枚举到中文文案与语义色的集中映射</w:t>
            </w:r>
          </w:p>
        </w:tc>
      </w:tr>
    </w:tbl>
    <w:p>
      <w:pPr>
        <w:pStyle w:val="Heading2"/>
      </w:pPr>
      <w:r>
        <w:t>3.3 Socket 服务端模块</w:t>
      </w:r>
    </w:p>
    <w:p>
      <w:pPr>
        <w:pStyle w:val="Heading3"/>
      </w:pPr>
      <w:r>
        <w:t>3.3.1 模块功能定义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功能点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/>
                <w:sz w:val="24"/>
              </w:rPr>
              <w:t>功能点详细内容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消息分发与会话控制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sz w:val="24"/>
              </w:rPr>
              <w:t>多线程 Socket 服务，按消息类型处理用户端与管理端各类消息并返回成功/失败及数据；未登录连接仅允许登录类消息与心跳；角色不匹配拒绝并提示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账号认证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sz w:val="24"/>
              </w:rPr>
              <w:t>用户密码加盐哈希保存与校验；模拟验证码生成、校验与有效期控制（不调用外部短信接口）；用户修改密码、管理员修改密码、管理员重置用户密码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充电状态顺序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sz w:val="24"/>
              </w:rPr>
              <w:t>只允许按「已预约→充电中→待结算→已完成」推进订单，预约未开始可取消；预约、取消、结算、新增站点等跨表修改均在事务内完成，顺序不符拒绝且不部分更新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数据访问与统计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sz w:val="24"/>
              </w:rPr>
              <w:t>核心表与计数器表的查询、插入和更新；营收/订单/充电量统计函数供管理端与 Web 大屏共用；已删除记录不出现在任何列表与统计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4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HTTP 只读接口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sz w:val="24"/>
              </w:rPr>
              <w:t>为 Web 大屏提供汇总数据与健康检查；仅支持 GET、响应禁缓存、默认仅绑定回环地址</w:t>
            </w:r>
          </w:p>
        </w:tc>
      </w:tr>
    </w:tbl>
    <w:p>
      <w:pPr>
        <w:jc w:val="center"/>
      </w:pPr>
      <w:r>
        <w:t>表3-4 模块功能描述</w:t>
      </w:r>
    </w:p>
    <w:p>
      <w:pPr>
        <w:pStyle w:val="Heading3"/>
      </w:pPr>
      <w:r>
        <w:t>3.3.2 模块结构</w:t>
      </w:r>
    </w:p>
    <w:p>
      <w:pPr>
        <w:jc w:val="both"/>
      </w:pPr>
      <w:r>
        <w:t>服务端主框架为多线程结构：监听模块为每个连接分配独立工作线程，业务模块经数据模块访问数据库：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38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tmp_fig3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图3-4 服务端模块结构图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984"/>
          </w:tcPr>
          <w:p>
            <w:r>
              <w:rPr>
                <w:rFonts w:ascii="宋体" w:hAnsi="宋体" w:eastAsia="宋体"/>
                <w:b/>
                <w:sz w:val="24"/>
              </w:rPr>
              <w:t>模块名称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4"/>
              </w:rPr>
              <w:t>模块类型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/>
                <w:sz w:val="24"/>
              </w:rPr>
              <w:t>概要说明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main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启动模块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4"/>
              </w:rPr>
              <w:t>解析启动参数（TCP 8888 / HTTP 8080，可覆盖），初始化数据库与两项服务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TcpServer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并发模块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4"/>
              </w:rPr>
              <w:t>监听端口，为每个客户端连接分配独立工作线程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Connection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连接模块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4"/>
              </w:rPr>
              <w:t>接收缓冲、\n 分包（粘包/半包处理）、单条 2MiB 上限、会话与角色状态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Handlers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业务模块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4"/>
              </w:rPr>
              <w:t>按消息类型分发处理并组装响应，统一错误返回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Protocol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基础模块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4"/>
              </w:rPr>
              <w:t>信封与字段的解析、校验和序列化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Stats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业务模块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4"/>
              </w:rPr>
              <w:t>营收、订单数、充电量、电桩状态等统计（管理端与大屏共用）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Database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数据模块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4"/>
              </w:rPr>
              <w:t>建表与演示数据、参数化 SQL 数据访问、事务控制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4"/>
              </w:rPr>
              <w:t>HttpServer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接口模块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4"/>
              </w:rPr>
              <w:t>只读 HTTP 接口（大屏汇总数据、健康检查）与静态文件服务</w:t>
            </w:r>
          </w:p>
        </w:tc>
      </w:tr>
    </w:tbl>
    <w:p>
      <w:pPr>
        <w:pStyle w:val="Heading1"/>
      </w:pPr>
      <w:r>
        <w:t>4 接口说明</w:t>
      </w:r>
    </w:p>
    <w:p>
      <w:pPr>
        <w:pStyle w:val="Heading2"/>
      </w:pPr>
      <w:r>
        <w:t>4.1 数据结构定义</w:t>
      </w:r>
    </w:p>
    <w:p>
      <w:pPr>
        <w:jc w:val="both"/>
      </w:pPr>
      <w:r>
        <w:t>模块间消息统一使用 UTF-8 JSON，单条消息以 \n 分包。请求包含 seq / type / payload；响应包含 seq / type / code / msg / data，code=0 表示成功；seq 从 1 开始单调递增，响应原样带回用于对号。</w:t>
      </w:r>
    </w:p>
    <w:p>
      <w:pPr>
        <w:jc w:val="both"/>
      </w:pPr>
      <w:r>
        <w:t>核心业务数据表如下（金额以「分」为单位整数存储，输出时换算为元；删除均为逻辑删除，删除标记字段为 deleted）：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4"/>
              </w:rPr>
              <w:t>实体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b/>
                <w:sz w:val="24"/>
              </w:rPr>
              <w:t>关键字段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users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4"/>
              </w:rPr>
              <w:t>id, phone, nickname, passwordHash, avatar, balance, status, deleted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4"/>
              </w:rPr>
              <w:t>手机号唯一；status：normal / frozen；密码加盐哈希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admins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4"/>
              </w:rPr>
              <w:t>id, username, passwordHash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4"/>
              </w:rPr>
              <w:t>初始账号 admin / 123456，密码加盐哈希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stations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4"/>
              </w:rPr>
              <w:t>id, name, address, lng, lat, pricePerKwh, deleted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4"/>
              </w:rPr>
              <w:t>含充电单价（元/度）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piles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4"/>
              </w:rPr>
              <w:t>id, station_id, code, type, powerKw, status, deleted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4"/>
              </w:rPr>
              <w:t>type：fast / slow；status：idle / in_use / fault；编号全局唯一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orders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4"/>
              </w:rPr>
              <w:t>id, user_id, pile_id, status, reserved_at, start_at, end_at, settled_at, energy, unit_price, amount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4"/>
              </w:rPr>
              <w:t>status：已预约/充电中/待结算/已完成/已取消；单价快照不随后续站点调价变化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4"/>
              </w:rPr>
              <w:t>verify_codes</w:t>
            </w:r>
          </w:p>
        </w:tc>
        <w:tc>
          <w:tcPr>
            <w:tcW w:type="dxa" w:w="4252"/>
          </w:tcPr>
          <w:p>
            <w:r>
              <w:rPr>
                <w:rFonts w:ascii="宋体" w:hAnsi="宋体" w:eastAsia="宋体"/>
                <w:sz w:val="24"/>
              </w:rPr>
              <w:t>id, phone, code, expire_at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4"/>
              </w:rPr>
              <w:t>模拟登录验证码，限时有效，验证后即失效</w:t>
            </w:r>
          </w:p>
        </w:tc>
      </w:tr>
    </w:tbl>
    <w:p>
      <w:pPr>
        <w:jc w:val="center"/>
      </w:pPr>
      <w:r>
        <w:t>表4-1 核心数据表</w:t>
      </w:r>
    </w:p>
    <w:p>
      <w:pPr>
        <w:jc w:val="both"/>
      </w:pPr>
      <w:r>
        <w:t>枚举约定：数据库与通信消息只保存英文枚举值（如 idle / in_use / fault），中文文案由各端界面自行映射。</w:t>
      </w:r>
    </w:p>
    <w:p>
      <w:pPr>
        <w:pStyle w:val="Heading2"/>
      </w:pPr>
      <w:r>
        <w:t>4.2 函数</w:t>
      </w:r>
    </w:p>
    <w:p>
      <w:pPr>
        <w:pStyle w:val="Heading3"/>
      </w:pPr>
      <w:r>
        <w:t>4.2.1 模块间接口函数</w:t>
      </w:r>
    </w:p>
    <w:p>
      <w:pPr>
        <w:jc w:val="both"/>
      </w:pPr>
      <w:r>
        <w:t>Qt 用户端、Qt 管理端与 Socket 服务端之间的模块间接口为 Socket 消息；Web 大屏与服务端之间为 HTTP 只读接口（大屏汇总数据、健康检查，仅 GET）。Socket 消息摘要如下：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3685"/>
          </w:tcPr>
          <w:p>
            <w:r>
              <w:rPr>
                <w:rFonts w:ascii="宋体" w:hAnsi="宋体" w:eastAsia="宋体"/>
                <w:b/>
                <w:sz w:val="24"/>
              </w:rPr>
              <w:t>消息类型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b/>
                <w:sz w:val="24"/>
              </w:rPr>
              <w:t>调用方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输入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b/>
                <w:sz w:val="24"/>
              </w:rPr>
              <w:t>输出/效果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ping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全部端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—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心跳，每 15 秒一次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user_verify_code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用户端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phone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生成模拟验证码并在界面模拟下发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user_login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用户端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phone + password 或 phone + code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登录成功返回资料；手机号不存在自动注册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user_password_update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用户端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原密码、新密码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修改本人登录密码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user_profile_get / update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用户端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— / nickname、avatar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查询 / 更新资料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wallet_recharge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用户端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amount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模拟充值并更新余额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nearby_station_list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用户端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位置坐标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按距离返回站点列表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station_detail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用户端、管理端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stationId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站点及站内电桩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active_order_get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用户端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—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返回未完成订单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charge_reserve / start / stop / settle / cancel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用户端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pileId / orderId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推进充电流程各状态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user_order_list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用户端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分页参数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历史订单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admin_login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管理端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username、password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管理员认证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admin_password_update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管理端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原密码、新密码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修改管理员密码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revenue_summary / revenue_trend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管理端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— / range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营收指标 / 7日或30日趋势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pile_status_overview / pile_list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管理端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— / stationId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状态总览 / 电桩列表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pile_restart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管理端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pileId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故障桩远程重启模拟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pile_add / pile_update / pile_delete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管理端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电桩字段 / pileId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电桩新增、修改、删除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station_list / station_add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管理端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— / 站点字段（含单价）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站点查询 / 新增站点及模拟电桩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station_update / station_delete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管理端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站点字段 / stationId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站点修改 / 删除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user_list / user_set_status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管理端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phoneKeyword / userId、status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用户查询 / 冻结解冻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user_add / user_update / user_delete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管理端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用户字段 / userId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用户新增、修改（含重置密码）、删除</w:t>
            </w:r>
          </w:p>
        </w:tc>
      </w:tr>
      <w:tr>
        <w:tc>
          <w:tcPr>
            <w:tcW w:type="dxa" w:w="3685"/>
          </w:tcPr>
          <w:p>
            <w:r>
              <w:rPr>
                <w:rFonts w:ascii="宋体" w:hAnsi="宋体" w:eastAsia="宋体"/>
                <w:sz w:val="24"/>
              </w:rPr>
              <w:t>admin_order_list / admin_order_detail</w:t>
            </w:r>
          </w:p>
        </w:tc>
        <w:tc>
          <w:tcPr>
            <w:tcW w:type="dxa" w:w="1587"/>
          </w:tcPr>
          <w:p>
            <w:r>
              <w:rPr>
                <w:rFonts w:ascii="宋体" w:hAnsi="宋体" w:eastAsia="宋体"/>
                <w:sz w:val="24"/>
              </w:rPr>
              <w:t>管理端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4"/>
              </w:rPr>
              <w:t>筛选条件、分页 / orderId</w:t>
            </w:r>
          </w:p>
        </w:tc>
        <w:tc>
          <w:tcPr>
            <w:tcW w:type="dxa" w:w="2098"/>
          </w:tcPr>
          <w:p>
            <w:r>
              <w:rPr>
                <w:rFonts w:ascii="宋体" w:hAnsi="宋体" w:eastAsia="宋体"/>
                <w:sz w:val="24"/>
              </w:rPr>
              <w:t>订单列表查询 / 订单详情</w:t>
            </w:r>
          </w:p>
        </w:tc>
      </w:tr>
    </w:tbl>
    <w:p>
      <w:pPr>
        <w:jc w:val="center"/>
      </w:pPr>
      <w:r>
        <w:t>表4-2 Socket 消息摘要</w:t>
      </w:r>
    </w:p>
    <w:p>
      <w:pPr>
        <w:jc w:val="both"/>
      </w:pPr>
      <w:r>
        <w:t>关键模块间接口的详细说明如下。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函数名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user_login（登录/注册消息）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文件名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server/src/biz/handlers.cpp（服务端处理）；客户端经 SocketClient 发送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功能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校验「手机号+密码」或「手机号+验证码」；手机号不存在时自动注册用户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记述形式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{"seq":2,"type":"user_login","payload":{"phone":"13800001234","password":"abc123"}}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参数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类型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变量名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I/O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说明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string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phone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1 开头 11 位手机号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string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password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登录密码，与 code 二选一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string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code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6 位模拟验证码，与 password 二选一</w:t>
            </w:r>
          </w:p>
        </w:tc>
      </w:tr>
      <w:tr>
        <w:tc>
          <w:tcPr>
            <w:tcW w:type="dxa" w:w="1688"/>
            <w:vMerge w:val="restart"/>
          </w:tcPr>
          <w:p>
            <w:r>
              <w:rPr>
                <w:rFonts w:ascii="宋体" w:hAnsi="宋体" w:eastAsia="宋体"/>
                <w:sz w:val="24"/>
              </w:rPr>
              <w:t>返回值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型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object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说明</w:t>
            </w:r>
          </w:p>
        </w:tc>
      </w:tr>
      <w:tr>
        <w:tc>
          <w:tcPr>
            <w:tcW w:type="dxa" w:w="1688"/>
            <w:vMerge/>
          </w:tcPr>
          <w:p/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值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0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成功：data 含 isNew 与 user 对象（昵称、余额、头像等）</w:t>
            </w:r>
          </w:p>
        </w:tc>
      </w:tr>
      <w:tr>
        <w:tc>
          <w:tcPr>
            <w:tcW w:type="dxa" w:w="1688"/>
            <w:vMerge/>
          </w:tcPr>
          <w:p/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非0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失败：手机号非法 / 密码或验证码错误 / 账号已冻结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详细说明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密码加盐哈希校验；验证码限时有效、验证成功后即失效；自动注册时默认昵称「用户+手机号后 4 位」、余额 0，并引导用户设置登录密码；已冻结账号拒绝登录。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函数名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charge_reserve（预约消息）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文件名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server/src/biz/handlers.cpp（服务端处理）；客户端经 SocketClient 发送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功能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预约空闲电桩：创建订单并将电桩置为在用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记述形式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{"seq":9,"type":"charge_reserve","payload":{"pileId":101}}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参数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类型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变量名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I/O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说明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integer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pileId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目标电桩 ID</w:t>
            </w:r>
          </w:p>
        </w:tc>
      </w:tr>
      <w:tr>
        <w:tc>
          <w:tcPr>
            <w:tcW w:type="dxa" w:w="1688"/>
            <w:vMerge w:val="restart"/>
          </w:tcPr>
          <w:p>
            <w:r>
              <w:rPr>
                <w:rFonts w:ascii="宋体" w:hAnsi="宋体" w:eastAsia="宋体"/>
                <w:sz w:val="24"/>
              </w:rPr>
              <w:t>返回值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型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object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说明</w:t>
            </w:r>
          </w:p>
        </w:tc>
      </w:tr>
      <w:tr>
        <w:tc>
          <w:tcPr>
            <w:tcW w:type="dxa" w:w="1688"/>
            <w:vMerge/>
          </w:tcPr>
          <w:p/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值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0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成功：data 含 order（状态「已预约」，保存站点单价快照）</w:t>
            </w:r>
          </w:p>
        </w:tc>
      </w:tr>
      <w:tr>
        <w:tc>
          <w:tcPr>
            <w:tcW w:type="dxa" w:w="1688"/>
            <w:vMerge/>
          </w:tcPr>
          <w:p/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非0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失败：已有未完成订单 / 电桩不可预约 / 电桩不存在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详细说明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服务端在同一事务中确认用户无未完成订单、电桩为空闲，创建订单并把电桩改为在用；事务任一步失败整体回滚；故障或在用电桩不可预约。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函数名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charge_settle（结算消息）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文件名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server/src/biz/handlers.cpp（服务端处理）；客户端经 SocketClient 发送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功能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结算待结算订单：扣减余额、完成订单、释放电桩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记述形式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{"seq":12,"type":"charge_settle","payload":{"orderId":10001}}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参数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类型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变量名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I/O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说明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integer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orderId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待结算订单 ID</w:t>
            </w:r>
          </w:p>
        </w:tc>
      </w:tr>
      <w:tr>
        <w:tc>
          <w:tcPr>
            <w:tcW w:type="dxa" w:w="1688"/>
            <w:vMerge w:val="restart"/>
          </w:tcPr>
          <w:p>
            <w:r>
              <w:rPr>
                <w:rFonts w:ascii="宋体" w:hAnsi="宋体" w:eastAsia="宋体"/>
                <w:sz w:val="24"/>
              </w:rPr>
              <w:t>返回值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型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object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说明</w:t>
            </w:r>
          </w:p>
        </w:tc>
      </w:tr>
      <w:tr>
        <w:tc>
          <w:tcPr>
            <w:tcW w:type="dxa" w:w="1688"/>
            <w:vMerge/>
          </w:tcPr>
          <w:p/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值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0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成功：data 含 order（状态「已完成」）与 balance（剩余余额）</w:t>
            </w:r>
          </w:p>
        </w:tc>
      </w:tr>
      <w:tr>
        <w:tc>
          <w:tcPr>
            <w:tcW w:type="dxa" w:w="1688"/>
            <w:vMerge/>
          </w:tcPr>
          <w:p/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非0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失败：余额不足（订单保持待结算）/ 订单状态不符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详细说明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服务端在同一事务中校验余额、扣款、完成订单、累计电桩充电次数与时长、释放电桩为空闲；余额不足时不作部分更新，用户充值后可再次结算。</w:t>
            </w:r>
          </w:p>
        </w:tc>
      </w:tr>
    </w:tbl>
    <w:p>
      <w:pPr>
        <w:pStyle w:val="Heading3"/>
      </w:pPr>
      <w:r>
        <w:t>4.2.2 模块内接口函数</w:t>
      </w:r>
    </w:p>
    <w:p>
      <w:pPr>
        <w:jc w:val="both"/>
      </w:pPr>
      <w:r>
        <w:t>关键模块内部接口的详细说明如下。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函数名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SocketClient::sendRequest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文件名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client/src/net/socketclient.cpp（管理端 net/socketclient.cpp 同构）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功能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各页面模块向服务端发送一条业务消息并注册响应回调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记述形式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qint64 sendRequest(const QString &amp;type, const QJsonObject &amp;payload, ResponseCallback cb)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参数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类型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变量名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I/O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说明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QString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type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消息类型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QJsonObject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payload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消息参数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ResponseCallback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cb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响应回调（code、msg、data）</w:t>
            </w:r>
          </w:p>
        </w:tc>
      </w:tr>
      <w:tr>
        <w:tc>
          <w:tcPr>
            <w:tcW w:type="dxa" w:w="1688"/>
            <w:vMerge w:val="restart"/>
          </w:tcPr>
          <w:p>
            <w:r>
              <w:rPr>
                <w:rFonts w:ascii="宋体" w:hAnsi="宋体" w:eastAsia="宋体"/>
                <w:sz w:val="24"/>
              </w:rPr>
              <w:t>返回值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型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qint64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说明</w:t>
            </w:r>
          </w:p>
        </w:tc>
      </w:tr>
      <w:tr>
        <w:tc>
          <w:tcPr>
            <w:tcW w:type="dxa" w:w="1688"/>
            <w:vMerge/>
          </w:tcPr>
          <w:p/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值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&gt;0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已发出，值为本次请求的 seq</w:t>
            </w:r>
          </w:p>
        </w:tc>
      </w:tr>
      <w:tr>
        <w:tc>
          <w:tcPr>
            <w:tcW w:type="dxa" w:w="1688"/>
            <w:vMerge/>
          </w:tcPr>
          <w:p/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—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未连接时不发送，回调以本地错误结束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详细说明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自动附加递增 seq 与结尾换行；响应按 seq 对号触发回调；连接中断时以 code&lt;0 的本地错误（连接中断/超时/未连接）结束所有未决请求，页面据此提示并保留原数据。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函数名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Handlers::dispatch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文件名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server/src/biz/handlers.cpp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功能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按消息类型分发到对应业务处理并组装响应（服务端连接模块调用）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记述形式</w:t>
            </w:r>
          </w:p>
        </w:tc>
        <w:tc>
          <w:tcPr>
            <w:tcW w:type="dxa" w:w="6632"/>
            <w:gridSpan w:val="3"/>
          </w:tcPr>
          <w:p>
            <w:r>
              <w:rPr>
                <w:rFonts w:ascii="宋体" w:hAnsi="宋体" w:eastAsia="宋体"/>
                <w:sz w:val="24"/>
              </w:rPr>
              <w:t>Response dispatch(const QString &amp;type, const QJsonObject &amp;payload, Session &amp;session, QSqlDatabase db, bool &amp;closeConnection)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参数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类型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变量名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I/O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说明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QString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type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消息类型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QJsonObject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payload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消息参数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Session &amp;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session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I/O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会话（角色、账号 ID），登录成功后写入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QSqlDatabase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db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I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本线程数据库连接</w:t>
            </w:r>
          </w:p>
        </w:tc>
      </w:tr>
      <w:tr>
        <w:tc>
          <w:tcPr>
            <w:tcW w:type="dxa" w:w="1688"/>
          </w:tcPr>
          <w:p>
            <w:r>
              <w:rPr>
                <w:rFonts w:ascii="宋体" w:hAnsi="宋体" w:eastAsia="宋体"/>
                <w:sz w:val="24"/>
              </w:rPr>
              <w:t>bool &amp;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closeConnection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O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置 true 时响应后关闭连接</w:t>
            </w:r>
          </w:p>
        </w:tc>
      </w:tr>
      <w:tr>
        <w:tc>
          <w:tcPr>
            <w:tcW w:type="dxa" w:w="1688"/>
            <w:vMerge w:val="restart"/>
          </w:tcPr>
          <w:p>
            <w:r>
              <w:rPr>
                <w:rFonts w:ascii="宋体" w:hAnsi="宋体" w:eastAsia="宋体"/>
                <w:sz w:val="24"/>
              </w:rPr>
              <w:t>返回值</w:t>
            </w:r>
          </w:p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型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Response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说明</w:t>
            </w:r>
          </w:p>
        </w:tc>
      </w:tr>
      <w:tr>
        <w:tc>
          <w:tcPr>
            <w:tcW w:type="dxa" w:w="1688"/>
            <w:vMerge/>
          </w:tcPr>
          <w:p/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  <w:t>值</w:t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0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成功：响应 data 按消息定义返回</w:t>
            </w:r>
          </w:p>
        </w:tc>
      </w:tr>
      <w:tr>
        <w:tc>
          <w:tcPr>
            <w:tcW w:type="dxa" w:w="1688"/>
            <w:vMerge/>
          </w:tcPr>
          <w:p/>
        </w:tc>
        <w:tc>
          <w:tcPr>
            <w:tcW w:type="dxa" w:w="2944"/>
          </w:tcPr>
          <w:p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890"/>
          </w:tcPr>
          <w:p>
            <w:r>
              <w:rPr>
                <w:rFonts w:ascii="宋体" w:hAnsi="宋体" w:eastAsia="宋体"/>
                <w:sz w:val="24"/>
              </w:rPr>
              <w:t>非0</w:t>
            </w:r>
          </w:p>
        </w:tc>
        <w:tc>
          <w:tcPr>
            <w:tcW w:type="dxa" w:w="2798"/>
          </w:tcPr>
          <w:p>
            <w:r>
              <w:rPr>
                <w:rFonts w:ascii="宋体" w:hAnsi="宋体" w:eastAsia="宋体"/>
                <w:sz w:val="24"/>
              </w:rPr>
              <w:t>失败：msg 为可展示提示，data 为空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详细说明</w:t>
            </w:r>
          </w:p>
        </w:tc>
      </w:tr>
      <w:tr>
        <w:tc>
          <w:tcPr>
            <w:tcW w:type="dxa" w:w="8320"/>
            <w:gridSpan w:val="4"/>
          </w:tcPr>
          <w:p>
            <w:r>
              <w:rPr>
                <w:rFonts w:ascii="宋体" w:hAnsi="宋体" w:eastAsia="宋体"/>
                <w:sz w:val="24"/>
              </w:rPr>
              <w:t>未登录连接仅允许心跳与登录类消息；角色不匹配拒绝；所有 SQL 参数化；预约、取消、结算、新增站点等跨表修改在事务内完成，任一步失败整体回滚。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宋体" w:hAnsi="宋体" w:eastAsia="宋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