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40" w:line="264" w:lineRule="auto"/>
      </w:pPr>
      <w:r>
        <w:rPr>
          <w:rFonts w:ascii="Arial" w:hAnsi="Arial" w:eastAsia="Arial" w:cs="Arial"/>
          <w:b/>
          <w:i w:val="0"/>
          <w:color w:val="1D4ED8"/>
          <w:sz w:val="20"/>
        </w:rPr>
        <w:t>AASHRAY: An AI-Based Framework for Cyclone Disaster Response and Impact-Driven Resource Allocation</w:t>
      </w:r>
    </w:p>
    <w:p>
      <w:pPr>
        <w:widowControl/>
        <w:spacing w:before="40" w:after="60" w:line="240" w:lineRule="auto"/>
      </w:pPr>
      <w:r>
        <w:rPr>
          <w:rFonts w:ascii="Arial" w:hAnsi="Arial" w:eastAsia="Arial" w:cs="Arial"/>
          <w:b/>
          <w:i w:val="0"/>
          <w:color w:val="0F172A"/>
          <w:sz w:val="44"/>
        </w:rPr>
        <w:t>AASHRAY: Hypothesis Testing Report —</w:t>
        <w:br/>
        <w:t>Impact-Driven Resource Allocation</w:t>
      </w:r>
    </w:p>
    <w:p>
      <w:pPr>
        <w:widowControl/>
        <w:spacing w:before="0" w:after="40" w:line="264" w:lineRule="auto"/>
      </w:pPr>
      <w:r>
        <w:rPr>
          <w:rFonts w:ascii="Arial" w:hAnsi="Arial" w:eastAsia="Arial" w:cs="Arial"/>
          <w:b w:val="0"/>
          <w:i w:val="0"/>
          <w:color w:val="64748B"/>
          <w:sz w:val="18"/>
        </w:rPr>
        <w:t>Final pre-registered experiment · 12,000 held-out synthetic scenarios · official run 7 October 2026</w:t>
      </w:r>
    </w:p>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1. Hypothesis</w:t>
      </w:r>
    </w:p>
    <w:p>
      <w:pPr>
        <w:pStyle w:val="Heading2"/>
        <w:keepNext/>
        <w:widowControl/>
        <w:spacing w:before="40" w:after="80" w:line="240" w:lineRule="auto"/>
      </w:pPr>
      <w:r>
        <w:rPr>
          <w:rFonts w:ascii="Arial" w:hAnsi="Arial" w:eastAsia="Arial" w:cs="Arial"/>
          <w:b/>
          <w:i w:val="0"/>
          <w:color w:val="000000"/>
          <w:sz w:val="22"/>
        </w:rPr>
        <w:t>Research question</w:t>
      </w:r>
    </w:p>
    <w:p>
      <w:pPr>
        <w:widowControl/>
        <w:spacing w:before="0" w:after="100" w:line="264" w:lineRule="auto"/>
      </w:pPr>
      <w:r>
        <w:rPr>
          <w:rFonts w:ascii="Arial" w:hAnsi="Arial" w:eastAsia="Arial" w:cs="Arial"/>
          <w:b w:val="0"/>
          <w:i/>
          <w:color w:val="111827"/>
          <w:sz w:val="20"/>
        </w:rPr>
        <w:t>Does severity–urgency-based priority allocation improve critical-demand coverage compared with arrival-time-based FCFS under constrained resource availability?</w:t>
      </w:r>
    </w:p>
    <w:p>
      <w:pPr>
        <w:pStyle w:val="Heading2"/>
        <w:keepNext/>
        <w:widowControl/>
        <w:spacing w:before="160" w:after="80" w:line="240" w:lineRule="auto"/>
      </w:pPr>
      <w:r>
        <w:rPr>
          <w:rFonts w:ascii="Arial" w:hAnsi="Arial" w:eastAsia="Arial" w:cs="Arial"/>
          <w:b/>
          <w:i w:val="0"/>
          <w:color w:val="000000"/>
          <w:sz w:val="22"/>
        </w:rPr>
        <w:t>Primary hypothesis (critical-demand coverage)</w:t>
      </w:r>
    </w:p>
    <w:p>
      <w:pPr>
        <w:keepNext/>
        <w:widowControl/>
        <w:spacing w:before="0" w:after="0" w:line="264" w:lineRule="auto"/>
      </w:pPr>
      <w:r>
        <w:rPr>
          <w:rFonts w:ascii="Arial" w:hAnsi="Arial" w:eastAsia="Arial" w:cs="Arial"/>
          <w:b w:val="0"/>
          <w:i w:val="0"/>
          <w:color w:val="111827"/>
          <w:sz w:val="20"/>
        </w:rPr>
        <w:t xml:space="preserve">The primary metric is </w:t>
      </w:r>
      <w:r>
        <w:rPr>
          <w:rFonts w:ascii="Arial" w:hAnsi="Arial" w:eastAsia="Arial" w:cs="Arial"/>
          <w:b/>
          <w:i w:val="0"/>
          <w:color w:val="111827"/>
          <w:sz w:val="20"/>
        </w:rPr>
        <w:t>Critical Demand Coverage (CDC)</w:t>
      </w:r>
      <w:r>
        <w:rPr>
          <w:rFonts w:ascii="Arial" w:hAnsi="Arial" w:eastAsia="Arial" w:cs="Arial"/>
          <w:b w:val="0"/>
          <w:i w:val="0"/>
          <w:color w:val="111827"/>
          <w:sz w:val="20"/>
        </w:rPr>
        <w:t xml:space="preserve">: the share of the demand of </w:t>
      </w:r>
      <w:r>
        <w:rPr>
          <w:rFonts w:ascii="Arial" w:hAnsi="Arial" w:eastAsia="Arial" w:cs="Arial"/>
          <w:b/>
          <w:i w:val="0"/>
          <w:color w:val="111827"/>
          <w:sz w:val="20"/>
        </w:rPr>
        <w:t>GT-critical</w:t>
      </w:r>
      <w:r>
        <w:rPr>
          <w:rFonts w:ascii="Arial" w:hAnsi="Arial" w:eastAsia="Arial" w:cs="Arial"/>
          <w:b w:val="0"/>
          <w:i w:val="0"/>
          <w:color w:val="111827"/>
          <w:sz w:val="20"/>
        </w:rPr>
        <w:t xml:space="preserve"> (reference-critical) emergencies that a policy fulfils, summed over water, food and medical kits. The GT-critical label comes from the fixed reference criticality rule defined later in this section. Both policies are run on every scenario, so the comparison is paired: Δ</w:t>
      </w:r>
      <w:r>
        <w:rPr>
          <w:rFonts w:ascii="Arial" w:hAnsi="Arial" w:eastAsia="Arial" w:cs="Arial"/>
          <w:b w:val="0"/>
          <w:i w:val="0"/>
          <w:color w:val="111827"/>
          <w:sz w:val="20"/>
          <w:vertAlign w:val="subscript"/>
        </w:rPr>
        <w:t>i</w:t>
      </w:r>
      <w:r>
        <w:rPr>
          <w:rFonts w:ascii="Arial" w:hAnsi="Arial" w:eastAsia="Arial" w:cs="Arial"/>
          <w:b w:val="0"/>
          <w:i w:val="0"/>
          <w:color w:val="111827"/>
          <w:sz w:val="20"/>
        </w:rPr>
        <w:t xml:space="preserve"> is the CDC difference in scenario i and μ</w:t>
      </w:r>
      <w:r>
        <w:rPr>
          <w:rFonts w:ascii="Arial" w:hAnsi="Arial" w:eastAsia="Arial" w:cs="Arial"/>
          <w:b w:val="0"/>
          <w:i w:val="0"/>
          <w:color w:val="111827"/>
          <w:sz w:val="20"/>
          <w:vertAlign w:val="subscript"/>
        </w:rPr>
        <w:t>Δ</w:t>
      </w:r>
      <w:r>
        <w:rPr>
          <w:rFonts w:ascii="Arial" w:hAnsi="Arial" w:eastAsia="Arial" w:cs="Arial"/>
          <w:b w:val="0"/>
          <w:i w:val="0"/>
          <w:color w:val="111827"/>
          <w:sz w:val="20"/>
        </w:rPr>
        <w:t xml:space="preserve"> is its mean over scenarios.</w:t>
      </w:r>
    </w:p>
    <w:p>
      <w:pPr>
        <w:keepNext/>
        <w:widowControl/>
        <w:spacing w:before="40" w:after="160" w:line="240" w:lineRule="auto"/>
        <w:jc w:val="center"/>
      </w:pPr>
      <m:oMathPara>
        <m:oMathParaPr>
          <m:jc m:val="center"/>
        </m:oMathParaPr>
        <m:oMath>
          <m:r>
            <m:rPr>
              <m:sty m:val="p"/>
            </m:rPr>
            <w:rPr>
              <w:rFonts w:ascii="Cambria Math" w:hAnsi="Cambria Math"/>
              <w:sz w:val="21"/>
            </w:rPr>
            <m:t xml:space="preserve">CDC</m:t>
          </m:r>
          <m:r>
            <w:rPr>
              <w:rFonts w:ascii="Cambria Math" w:hAnsi="Cambria Math"/>
              <w:sz w:val="21"/>
            </w:rPr>
            <m:t xml:space="preserve"> = </m:t>
          </m:r>
          <m:f>
            <m:num>
              <m:r>
                <m:rPr>
                  <m:nor/>
                </m:rPr>
                <w:rPr>
                  <w:rFonts w:ascii="Cambria Math" w:hAnsi="Cambria Math"/>
                  <w:sz w:val="21"/>
                </w:rPr>
                <m:t xml:space="preserve">GT-critical demand fulfilled</m:t>
              </m:r>
            </m:num>
            <m:den>
              <m:r>
                <m:rPr>
                  <m:nor/>
                </m:rPr>
                <w:rPr>
                  <w:rFonts w:ascii="Cambria Math" w:hAnsi="Cambria Math"/>
                  <w:sz w:val="21"/>
                </w:rPr>
                <m:t xml:space="preserve">total GT-critical demand</m:t>
              </m:r>
            </m:den>
          </m:f>
          <m:r>
            <m:rPr>
              <m:sty m:val="p"/>
            </m:rPr>
            <w:rPr>
              <w:rFonts w:ascii="Cambria Math" w:hAnsi="Cambria Math"/>
              <w:sz w:val="21"/>
            </w:rPr>
            <m:t xml:space="preserve">,          </m:t>
          </m:r>
          <m:sSub>
            <m:e>
              <m:r>
                <m:rPr>
                  <m:sty m:val="p"/>
                </m:rPr>
                <w:rPr>
                  <w:rFonts w:ascii="Cambria Math" w:hAnsi="Cambria Math"/>
                  <w:sz w:val="21"/>
                </w:rPr>
                <m:t xml:space="preserve">Δ</m:t>
              </m:r>
            </m:e>
            <m:sub>
              <m:r>
                <w:rPr>
                  <w:rFonts w:ascii="Cambria Math" w:hAnsi="Cambria Math"/>
                  <w:sz w:val="21"/>
                </w:rPr>
                <m:t xml:space="preserve">i</m:t>
              </m:r>
            </m:sub>
          </m:sSub>
          <m:r>
            <w:rPr>
              <w:rFonts w:ascii="Cambria Math" w:hAnsi="Cambria Math"/>
              <w:sz w:val="21"/>
            </w:rPr>
            <m:t xml:space="preserve"> = </m:t>
          </m:r>
          <m:sSub>
            <m:e>
              <m:r>
                <m:rPr>
                  <m:sty m:val="p"/>
                </m:rPr>
                <w:rPr>
                  <w:rFonts w:ascii="Cambria Math" w:hAnsi="Cambria Math"/>
                  <w:sz w:val="21"/>
                </w:rPr>
                <m:t xml:space="preserve">CDC</m:t>
              </m:r>
            </m:e>
            <m:sub>
              <m:r>
                <m:rPr>
                  <m:sty m:val="p"/>
                </m:rPr>
                <w:rPr>
                  <w:rFonts w:ascii="Cambria Math" w:hAnsi="Cambria Math"/>
                  <w:sz w:val="21"/>
                </w:rPr>
                <m:t xml:space="preserve">AASHRAY,</m:t>
              </m:r>
              <m:r>
                <w:rPr>
                  <w:rFonts w:ascii="Cambria Math" w:hAnsi="Cambria Math"/>
                  <w:sz w:val="21"/>
                </w:rPr>
                <m:t xml:space="preserve">i</m:t>
              </m:r>
            </m:sub>
          </m:sSub>
          <m:r>
            <w:rPr>
              <w:rFonts w:ascii="Cambria Math" w:hAnsi="Cambria Math"/>
              <w:sz w:val="21"/>
            </w:rPr>
            <m:t xml:space="preserve"> − </m:t>
          </m:r>
          <m:sSub>
            <m:e>
              <m:r>
                <m:rPr>
                  <m:sty m:val="p"/>
                </m:rPr>
                <w:rPr>
                  <w:rFonts w:ascii="Cambria Math" w:hAnsi="Cambria Math"/>
                  <w:sz w:val="21"/>
                </w:rPr>
                <m:t xml:space="preserve">CDC</m:t>
              </m:r>
            </m:e>
            <m:sub>
              <m:r>
                <m:rPr>
                  <m:sty m:val="p"/>
                </m:rPr>
                <w:rPr>
                  <w:rFonts w:ascii="Cambria Math" w:hAnsi="Cambria Math"/>
                  <w:sz w:val="21"/>
                </w:rPr>
                <m:t xml:space="preserve">FCFS,</m:t>
              </m:r>
              <m:r>
                <w:rPr>
                  <w:rFonts w:ascii="Cambria Math" w:hAnsi="Cambria Math"/>
                  <w:sz w:val="21"/>
                </w:rPr>
                <m:t xml:space="preserve">i</m:t>
              </m:r>
            </m:sub>
          </m:sSub>
        </m:oMath>
      </m:oMathPara>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30" w:type="dxa"/>
          <w:left w:w="150" w:type="dxa"/>
          <w:bottom w:w="120" w:type="dxa"/>
          <w:right w:w="170" w:type="dxa"/>
        </w:tblCellMar>
        <w:tblLook w:firstColumn="1" w:firstRow="1" w:lastColumn="0" w:lastRow="0" w:noHBand="0" w:noVBand="1" w:val="04A0"/>
      </w:tblPr>
      <w:tblGrid>
        <w:gridCol w:w="1368"/>
        <w:gridCol w:w="8525"/>
      </w:tblGrid>
      <w:tr>
        <w:trPr>
          <w:cantSplit/>
        </w:trPr>
        <w:tc>
          <w:tcPr>
            <w:tcW w:type="dxa" w:w="1368"/>
            <w:shd w:val="clear" w:color="auto" w:fill="EEF2F7"/>
            <w:vAlign w:val="top"/>
          </w:tcPr>
          <w:p>
            <w:pPr>
              <w:keepNext/>
              <w:widowControl/>
              <w:spacing w:before="0" w:after="0" w:line="240" w:lineRule="auto"/>
              <w:jc w:val="center"/>
            </w:pPr>
            <w:r>
              <w:rPr>
                <w:rFonts w:ascii="Arial" w:hAnsi="Arial" w:eastAsia="Arial" w:cs="Arial"/>
                <w:b/>
                <w:i w:val="0"/>
                <w:color w:val="0F172A"/>
                <w:sz w:val="26"/>
              </w:rPr>
              <w:t>H0</w:t>
            </w:r>
          </w:p>
        </w:tc>
        <w:tc>
          <w:tcPr>
            <w:tcW w:type="dxa" w:w="8525"/>
            <w:shd w:val="clear" w:color="auto" w:fill="FFFFFF"/>
            <w:vAlign w:val="top"/>
          </w:tcPr>
          <w:p>
            <w:pPr>
              <w:keepNext/>
              <w:widowControl/>
              <w:spacing w:before="0" w:after="0" w:line="276" w:lineRule="auto"/>
            </w:pPr>
            <w:r>
              <w:rPr>
                <w:rFonts w:ascii="Arial" w:hAnsi="Arial" w:eastAsia="Arial" w:cs="Arial"/>
                <w:b w:val="0"/>
                <w:i w:val="0"/>
                <w:color w:val="111827"/>
                <w:sz w:val="21"/>
              </w:rPr>
              <w:t>Under constrained resource availability, the severity–urgency-based AASHRAY allocation policy does not improve critical-demand coverage compared with arrival-time-based FCFS allocation. The mean paired difference in Critical Demand Coverage (CDC) across the 12,000 held-out scenarios is non-positive.</w:t>
            </w:r>
          </w:p>
          <w:p>
            <w:pPr>
              <w:keepNext/>
              <w:widowControl/>
              <w:spacing w:before="100" w:after="0" w:line="240" w:lineRule="auto"/>
            </w:pPr>
            <m:oMathPara>
              <m:oMathParaPr>
                <m:jc m:val="center"/>
              </m:oMathParaPr>
              <m:oMath>
                <m:sSub>
                  <m:e>
                    <m:r>
                      <w:rPr>
                        <w:rFonts w:ascii="Cambria Math" w:hAnsi="Cambria Math"/>
                        <w:sz w:val="26"/>
                      </w:rPr>
                      <m:t xml:space="preserve">μ</m:t>
                    </m:r>
                  </m:e>
                  <m:sub>
                    <m:r>
                      <m:rPr>
                        <m:sty m:val="p"/>
                      </m:rPr>
                      <w:rPr>
                        <w:rFonts w:ascii="Cambria Math" w:hAnsi="Cambria Math"/>
                        <w:sz w:val="26"/>
                      </w:rPr>
                      <m:t xml:space="preserve">Δ</m:t>
                    </m:r>
                  </m:sub>
                </m:sSub>
                <m:r>
                  <w:rPr>
                    <w:rFonts w:ascii="Cambria Math" w:hAnsi="Cambria Math"/>
                    <w:sz w:val="26"/>
                  </w:rPr>
                  <m:t xml:space="preserve"> ≤ 0</m:t>
                </m:r>
              </m:oMath>
            </m:oMathPara>
          </w:p>
        </w:tc>
      </w:tr>
    </w:tbl>
    <w:p>
      <w:pPr>
        <w:keepNext/>
        <w:widowControl/>
        <w:spacing w:before="0" w:after="0" w:line="240" w:lineRule="exact"/>
      </w:pP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30" w:type="dxa"/>
          <w:left w:w="150" w:type="dxa"/>
          <w:bottom w:w="120" w:type="dxa"/>
          <w:right w:w="170" w:type="dxa"/>
        </w:tblCellMar>
        <w:tblLook w:firstColumn="1" w:firstRow="1" w:lastColumn="0" w:lastRow="0" w:noHBand="0" w:noVBand="1" w:val="04A0"/>
      </w:tblPr>
      <w:tblGrid>
        <w:gridCol w:w="1368"/>
        <w:gridCol w:w="8525"/>
      </w:tblGrid>
      <w:tr>
        <w:trPr>
          <w:cantSplit/>
        </w:trPr>
        <w:tc>
          <w:tcPr>
            <w:tcW w:type="dxa" w:w="1368"/>
            <w:shd w:val="clear" w:color="auto" w:fill="DBEAFE"/>
            <w:vAlign w:val="top"/>
          </w:tcPr>
          <w:p>
            <w:pPr>
              <w:widowControl/>
              <w:spacing w:before="0" w:after="0" w:line="240" w:lineRule="auto"/>
              <w:jc w:val="center"/>
            </w:pPr>
            <w:r>
              <w:rPr>
                <w:rFonts w:ascii="Arial" w:hAnsi="Arial" w:eastAsia="Arial" w:cs="Arial"/>
                <w:b/>
                <w:i w:val="0"/>
                <w:color w:val="0F172A"/>
                <w:sz w:val="26"/>
              </w:rPr>
              <w:t>H1</w:t>
            </w:r>
          </w:p>
        </w:tc>
        <w:tc>
          <w:tcPr>
            <w:tcW w:type="dxa" w:w="8525"/>
            <w:shd w:val="clear" w:color="auto" w:fill="FFFFFF"/>
            <w:vAlign w:val="top"/>
          </w:tcPr>
          <w:p>
            <w:pPr>
              <w:widowControl/>
              <w:spacing w:before="0" w:after="0" w:line="276" w:lineRule="auto"/>
            </w:pPr>
            <w:r>
              <w:rPr>
                <w:rFonts w:ascii="Arial" w:hAnsi="Arial" w:eastAsia="Arial" w:cs="Arial"/>
                <w:b w:val="0"/>
                <w:i w:val="0"/>
                <w:color w:val="111827"/>
                <w:sz w:val="21"/>
              </w:rPr>
              <w:t>Under constrained resource availability, the severity–urgency-based AASHRAY allocation policy improves critical-demand coverage compared with arrival-time-based FCFS allocation. The mean paired difference in Critical Demand Coverage (CDC) across the 12,000 held-out scenarios is positive.</w:t>
            </w:r>
          </w:p>
          <w:p>
            <w:pPr>
              <w:widowControl/>
              <w:spacing w:before="100" w:after="0" w:line="240" w:lineRule="auto"/>
            </w:pPr>
            <m:oMathPara>
              <m:oMathParaPr>
                <m:jc m:val="center"/>
              </m:oMathParaPr>
              <m:oMath>
                <m:sSub>
                  <m:e>
                    <m:r>
                      <w:rPr>
                        <w:rFonts w:ascii="Cambria Math" w:hAnsi="Cambria Math"/>
                        <w:sz w:val="26"/>
                      </w:rPr>
                      <m:t xml:space="preserve">μ</m:t>
                    </m:r>
                  </m:e>
                  <m:sub>
                    <m:r>
                      <m:rPr>
                        <m:sty m:val="p"/>
                      </m:rPr>
                      <w:rPr>
                        <w:rFonts w:ascii="Cambria Math" w:hAnsi="Cambria Math"/>
                        <w:sz w:val="26"/>
                      </w:rPr>
                      <m:t xml:space="preserve">Δ</m:t>
                    </m:r>
                  </m:sub>
                </m:sSub>
                <m:r>
                  <w:rPr>
                    <w:rFonts w:ascii="Cambria Math" w:hAnsi="Cambria Math"/>
                    <w:sz w:val="26"/>
                  </w:rPr>
                  <m:t xml:space="preserve"> &gt; 0</m:t>
                </m:r>
              </m:oMath>
            </m:oMathPara>
          </w:p>
        </w:tc>
      </w:tr>
    </w:tbl>
    <w:p>
      <w:pPr>
        <w:widowControl/>
        <w:spacing w:before="140" w:after="100" w:line="264" w:lineRule="auto"/>
      </w:pPr>
      <w:r>
        <w:rPr>
          <w:rFonts w:ascii="Arial" w:hAnsi="Arial" w:eastAsia="Arial" w:cs="Arial"/>
          <w:b w:val="0"/>
          <w:i w:val="0"/>
          <w:color w:val="111827"/>
          <w:sz w:val="20"/>
        </w:rPr>
        <w:t xml:space="preserve">H0 and H1 form the single </w:t>
      </w:r>
      <w:r>
        <w:rPr>
          <w:rFonts w:ascii="Arial" w:hAnsi="Arial" w:eastAsia="Arial" w:cs="Arial"/>
          <w:b/>
          <w:i w:val="0"/>
          <w:color w:val="111827"/>
          <w:sz w:val="20"/>
        </w:rPr>
        <w:t>primary inferential hypothesis</w:t>
      </w:r>
      <w:r>
        <w:rPr>
          <w:rFonts w:ascii="Arial" w:hAnsi="Arial" w:eastAsia="Arial" w:cs="Arial"/>
          <w:b w:val="0"/>
          <w:i w:val="0"/>
          <w:color w:val="111827"/>
          <w:sz w:val="20"/>
        </w:rPr>
        <w:t>. It is tested with a one-sided paired sign-flip permutation test at α = 0.05 (Section 4).</w:t>
      </w:r>
    </w:p>
    <w:p>
      <w:pPr>
        <w:pStyle w:val="Heading2"/>
        <w:keepNext/>
        <w:widowControl/>
        <w:spacing w:before="160" w:after="80" w:line="240" w:lineRule="auto"/>
      </w:pPr>
      <w:r>
        <w:rPr>
          <w:rFonts w:ascii="Arial" w:hAnsi="Arial" w:eastAsia="Arial" w:cs="Arial"/>
          <w:b/>
          <w:i w:val="0"/>
          <w:color w:val="000000"/>
          <w:sz w:val="22"/>
        </w:rPr>
        <w:t>Secondary evaluation objectives (descriptive; not significance-tested)</w:t>
      </w:r>
    </w:p>
    <w:p>
      <w:pPr>
        <w:keepNext/>
        <w:widowControl/>
        <w:spacing w:before="0" w:after="140" w:line="264" w:lineRule="auto"/>
      </w:pPr>
      <w:r>
        <w:rPr>
          <w:rFonts w:ascii="Arial" w:hAnsi="Arial" w:eastAsia="Arial" w:cs="Arial"/>
          <w:b w:val="0"/>
          <w:i w:val="0"/>
          <w:color w:val="111827"/>
          <w:sz w:val="20"/>
        </w:rPr>
        <w:t>H2 and H3 are secondary evaluation objectives, not primary inferential hypotheses.</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50" w:type="dxa"/>
          <w:left w:w="150" w:type="dxa"/>
          <w:bottom w:w="170" w:type="dxa"/>
          <w:right w:w="170" w:type="dxa"/>
        </w:tblCellMar>
        <w:tblLook w:firstColumn="1" w:firstRow="1" w:lastColumn="0" w:lastRow="0" w:noHBand="0" w:noVBand="1" w:val="04A0"/>
      </w:tblPr>
      <w:tblGrid>
        <w:gridCol w:w="1368"/>
        <w:gridCol w:w="8525"/>
      </w:tblGrid>
      <w:tr>
        <w:trPr>
          <w:cantSplit/>
        </w:trPr>
        <w:tc>
          <w:tcPr>
            <w:tcW w:type="dxa" w:w="1368"/>
            <w:shd w:val="clear" w:color="auto" w:fill="F1F5F9"/>
            <w:vAlign w:val="top"/>
          </w:tcPr>
          <w:p>
            <w:pPr>
              <w:keepNext/>
              <w:widowControl/>
              <w:spacing w:before="0" w:after="0" w:line="240" w:lineRule="auto"/>
              <w:jc w:val="center"/>
            </w:pPr>
            <w:r>
              <w:rPr>
                <w:rFonts w:ascii="Arial" w:hAnsi="Arial" w:eastAsia="Arial" w:cs="Arial"/>
                <w:b/>
                <w:i w:val="0"/>
                <w:color w:val="334155"/>
                <w:sz w:val="26"/>
              </w:rPr>
              <w:t>H2</w:t>
            </w:r>
          </w:p>
          <w:p>
            <w:pPr>
              <w:keepNext/>
              <w:widowControl/>
              <w:spacing w:before="40" w:after="0" w:line="240" w:lineRule="auto"/>
              <w:jc w:val="center"/>
            </w:pPr>
            <w:r>
              <w:rPr>
                <w:rFonts w:ascii="Arial" w:hAnsi="Arial" w:eastAsia="Arial" w:cs="Arial"/>
                <w:b w:val="0"/>
                <w:i w:val="0"/>
                <w:color w:val="64748B"/>
                <w:sz w:val="15"/>
              </w:rPr>
              <w:t>secondary</w:t>
              <w:br/>
              <w:t>objective</w:t>
            </w:r>
          </w:p>
        </w:tc>
        <w:tc>
          <w:tcPr>
            <w:tcW w:type="dxa" w:w="8525"/>
            <w:shd w:val="clear" w:color="auto" w:fill="FFFFFF"/>
            <w:vAlign w:val="top"/>
          </w:tcPr>
          <w:p>
            <w:pPr>
              <w:keepNext/>
              <w:widowControl/>
              <w:spacing w:before="0" w:after="0" w:line="276" w:lineRule="auto"/>
            </w:pPr>
            <w:r>
              <w:rPr>
                <w:rFonts w:ascii="Arial" w:hAnsi="Arial" w:eastAsia="Arial" w:cs="Arial"/>
                <w:b/>
                <w:i w:val="0"/>
                <w:color w:val="111827"/>
                <w:sz w:val="21"/>
              </w:rPr>
              <w:t>Optimality</w:t>
            </w:r>
          </w:p>
          <w:p>
            <w:pPr>
              <w:keepNext/>
              <w:widowControl/>
              <w:spacing w:before="40" w:after="0" w:line="276" w:lineRule="auto"/>
            </w:pPr>
            <w:r>
              <w:rPr>
                <w:rFonts w:ascii="Arial" w:hAnsi="Arial" w:eastAsia="Arial" w:cs="Arial"/>
                <w:b w:val="0"/>
                <w:i w:val="0"/>
                <w:color w:val="111827"/>
                <w:sz w:val="21"/>
              </w:rPr>
              <w:t>AASHRAY achieves high critical-demand coverage relative to the MILP optimization benchmark.</w:t>
            </w:r>
          </w:p>
          <w:p>
            <w:pPr>
              <w:keepNext/>
              <w:widowControl/>
              <w:spacing w:before="100" w:after="0" w:line="264" w:lineRule="auto"/>
            </w:pPr>
            <w:r>
              <w:rPr>
                <w:rFonts w:ascii="Arial" w:hAnsi="Arial" w:eastAsia="Arial" w:cs="Arial"/>
                <w:b w:val="0"/>
                <w:i/>
                <w:color w:val="64748B"/>
                <w:sz w:val="18"/>
              </w:rPr>
              <w:t>Measures: optimality gap; exact-optimum and within-1%, 5% and 10% rates (Section 5). Descriptive: the MILP is the benchmark, so no AASHRAY-vs-MILP significance test is run.</w:t>
            </w:r>
          </w:p>
        </w:tc>
      </w:tr>
    </w:tbl>
    <w:p>
      <w:pPr>
        <w:keepNext/>
        <w:widowControl/>
        <w:spacing w:before="0" w:after="0" w:line="240" w:lineRule="exact"/>
      </w:pP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150" w:type="dxa"/>
          <w:left w:w="150" w:type="dxa"/>
          <w:bottom w:w="170" w:type="dxa"/>
          <w:right w:w="170" w:type="dxa"/>
        </w:tblCellMar>
        <w:tblLook w:firstColumn="1" w:firstRow="1" w:lastColumn="0" w:lastRow="0" w:noHBand="0" w:noVBand="1" w:val="04A0"/>
      </w:tblPr>
      <w:tblGrid>
        <w:gridCol w:w="1368"/>
        <w:gridCol w:w="8525"/>
      </w:tblGrid>
      <w:tr>
        <w:trPr>
          <w:cantSplit/>
        </w:trPr>
        <w:tc>
          <w:tcPr>
            <w:tcW w:type="dxa" w:w="1368"/>
            <w:shd w:val="clear" w:color="auto" w:fill="F1F5F9"/>
            <w:vAlign w:val="top"/>
          </w:tcPr>
          <w:p>
            <w:pPr>
              <w:widowControl/>
              <w:spacing w:before="0" w:after="0" w:line="240" w:lineRule="auto"/>
              <w:jc w:val="center"/>
            </w:pPr>
            <w:r>
              <w:rPr>
                <w:rFonts w:ascii="Arial" w:hAnsi="Arial" w:eastAsia="Arial" w:cs="Arial"/>
                <w:b/>
                <w:i w:val="0"/>
                <w:color w:val="334155"/>
                <w:sz w:val="26"/>
              </w:rPr>
              <w:t>H3</w:t>
            </w:r>
          </w:p>
          <w:p>
            <w:pPr>
              <w:widowControl/>
              <w:spacing w:before="40" w:after="0" w:line="240" w:lineRule="auto"/>
              <w:jc w:val="center"/>
            </w:pPr>
            <w:r>
              <w:rPr>
                <w:rFonts w:ascii="Arial" w:hAnsi="Arial" w:eastAsia="Arial" w:cs="Arial"/>
                <w:b w:val="0"/>
                <w:i w:val="0"/>
                <w:color w:val="64748B"/>
                <w:sz w:val="15"/>
              </w:rPr>
              <w:t>secondary</w:t>
              <w:br/>
              <w:t>objective</w:t>
            </w:r>
          </w:p>
        </w:tc>
        <w:tc>
          <w:tcPr>
            <w:tcW w:type="dxa" w:w="8525"/>
            <w:shd w:val="clear" w:color="auto" w:fill="FFFFFF"/>
            <w:vAlign w:val="top"/>
          </w:tcPr>
          <w:p>
            <w:pPr>
              <w:widowControl/>
              <w:spacing w:before="0" w:after="0" w:line="276" w:lineRule="auto"/>
            </w:pPr>
            <w:r>
              <w:rPr>
                <w:rFonts w:ascii="Arial" w:hAnsi="Arial" w:eastAsia="Arial" w:cs="Arial"/>
                <w:b/>
                <w:i w:val="0"/>
                <w:color w:val="111827"/>
                <w:sz w:val="21"/>
              </w:rPr>
              <w:t>Computational efficiency</w:t>
            </w:r>
          </w:p>
          <w:p>
            <w:pPr>
              <w:widowControl/>
              <w:spacing w:before="40" w:after="0" w:line="276" w:lineRule="auto"/>
            </w:pPr>
            <w:r>
              <w:rPr>
                <w:rFonts w:ascii="Arial" w:hAnsi="Arial" w:eastAsia="Arial" w:cs="Arial"/>
                <w:b w:val="0"/>
                <w:i w:val="0"/>
                <w:color w:val="111827"/>
                <w:sz w:val="21"/>
              </w:rPr>
              <w:t>AASHRAY requires substantially less computation than solving the MILP benchmark.</w:t>
            </w:r>
          </w:p>
          <w:p>
            <w:pPr>
              <w:widowControl/>
              <w:spacing w:before="100" w:after="0" w:line="264" w:lineRule="auto"/>
            </w:pPr>
            <w:r>
              <w:rPr>
                <w:rFonts w:ascii="Arial" w:hAnsi="Arial" w:eastAsia="Arial" w:cs="Arial"/>
                <w:b w:val="0"/>
                <w:i/>
                <w:color w:val="64748B"/>
                <w:sz w:val="18"/>
              </w:rPr>
              <w:t>Measures: mean, median, P95 and total runtime; conservative speedup (Section 7). Descriptive; hardware and implementation dependent.</w:t>
            </w:r>
          </w:p>
        </w:tc>
      </w:tr>
    </w:tbl>
    <w:p>
      <w:pPr>
        <w:pStyle w:val="Heading2"/>
        <w:keepNext/>
        <w:widowControl/>
        <w:spacing w:before="200" w:after="80" w:line="240" w:lineRule="auto"/>
      </w:pPr>
      <w:r>
        <w:rPr>
          <w:rFonts w:ascii="Arial" w:hAnsi="Arial" w:eastAsia="Arial" w:cs="Arial"/>
          <w:b/>
          <w:i w:val="0"/>
          <w:color w:val="000000"/>
          <w:sz w:val="22"/>
        </w:rPr>
        <w:t>Methods compared</w:t>
      </w:r>
    </w:p>
    <w:p>
      <w:pPr>
        <w:keepNext/>
        <w:widowControl/>
        <w:spacing w:before="0" w:after="100" w:line="264" w:lineRule="auto"/>
      </w:pPr>
      <w:r>
        <w:rPr>
          <w:rFonts w:ascii="Arial" w:hAnsi="Arial" w:eastAsia="Arial" w:cs="Arial"/>
          <w:b w:val="0"/>
          <w:i w:val="0"/>
          <w:color w:val="111827"/>
          <w:sz w:val="20"/>
        </w:rPr>
        <w:t>Each emergency has a severity S, an urgency U, a resource demand and an arrival time; warehouses hold limited water, food and medical kits, so order matters only when supply cannot meet all demand. Two allocation policies and one optimization benchmark were run on identical inputs:</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1368"/>
        <w:gridCol w:w="6149"/>
        <w:gridCol w:w="2376"/>
      </w:tblGrid>
      <w:tr>
        <w:trPr>
          <w:cantSplit/>
          <w:tblHeader/>
        </w:trPr>
        <w:tc>
          <w:tcPr>
            <w:tcW w:type="dxa" w:w="1368"/>
            <w:shd w:val="clear" w:color="auto" w:fill="0F172A"/>
            <w:vAlign w:val="center"/>
          </w:tcPr>
          <w:p>
            <w:pPr>
              <w:keepNext/>
              <w:widowControl/>
              <w:spacing w:before="0" w:after="0" w:line="240" w:lineRule="auto"/>
              <w:jc w:val="left"/>
            </w:pPr>
            <w:r>
              <w:rPr>
                <w:rFonts w:ascii="Arial" w:hAnsi="Arial" w:eastAsia="Arial" w:cs="Arial"/>
                <w:b/>
                <w:i w:val="0"/>
                <w:color w:val="FFFFFF"/>
                <w:sz w:val="18"/>
              </w:rPr>
              <w:t>Method</w:t>
            </w:r>
          </w:p>
        </w:tc>
        <w:tc>
          <w:tcPr>
            <w:tcW w:type="dxa" w:w="6149"/>
            <w:shd w:val="clear" w:color="auto" w:fill="0F172A"/>
            <w:vAlign w:val="center"/>
          </w:tcPr>
          <w:p>
            <w:pPr>
              <w:keepNext/>
              <w:widowControl/>
              <w:spacing w:before="0" w:after="0" w:line="240" w:lineRule="auto"/>
              <w:jc w:val="left"/>
            </w:pPr>
            <w:r>
              <w:rPr>
                <w:rFonts w:ascii="Arial" w:hAnsi="Arial" w:eastAsia="Arial" w:cs="Arial"/>
                <w:b/>
                <w:i w:val="0"/>
                <w:color w:val="FFFFFF"/>
                <w:sz w:val="18"/>
              </w:rPr>
              <w:t>Decision rule</w:t>
            </w:r>
          </w:p>
        </w:tc>
        <w:tc>
          <w:tcPr>
            <w:tcW w:type="dxa" w:w="2376"/>
            <w:shd w:val="clear" w:color="auto" w:fill="0F172A"/>
            <w:vAlign w:val="center"/>
          </w:tcPr>
          <w:p>
            <w:pPr>
              <w:keepNext/>
              <w:widowControl/>
              <w:spacing w:before="0" w:after="0" w:line="240" w:lineRule="auto"/>
              <w:jc w:val="left"/>
            </w:pPr>
            <w:r>
              <w:rPr>
                <w:rFonts w:ascii="Arial" w:hAnsi="Arial" w:eastAsia="Arial" w:cs="Arial"/>
                <w:b/>
                <w:i w:val="0"/>
                <w:color w:val="FFFFFF"/>
                <w:sz w:val="18"/>
              </w:rPr>
              <w:t>Role</w:t>
            </w:r>
          </w:p>
        </w:tc>
      </w:tr>
      <w:tr>
        <w:trPr>
          <w:cantSplit/>
        </w:trPr>
        <w:tc>
          <w:tcPr>
            <w:tcW w:type="dxa" w:w="1368"/>
            <w:shd w:val="clear" w:color="auto" w:fill="FFFFFF"/>
            <w:vAlign w:val="center"/>
          </w:tcPr>
          <w:p>
            <w:pPr>
              <w:keepNext/>
              <w:widowControl/>
              <w:spacing w:before="0" w:after="0" w:line="240" w:lineRule="auto"/>
              <w:jc w:val="left"/>
            </w:pPr>
            <w:r>
              <w:rPr>
                <w:rFonts w:ascii="Arial" w:hAnsi="Arial" w:eastAsia="Arial" w:cs="Arial"/>
                <w:b/>
                <w:i w:val="0"/>
                <w:color w:val="111827"/>
                <w:sz w:val="18"/>
              </w:rPr>
              <w:t>FCFS</w:t>
            </w:r>
          </w:p>
        </w:tc>
        <w:tc>
          <w:tcPr>
            <w:tcW w:type="dxa" w:w="6149"/>
            <w:shd w:val="clear" w:color="auto" w:fill="FFFFFF"/>
            <w:vAlign w:val="center"/>
          </w:tcPr>
          <w:p>
            <w:pPr>
              <w:keepNext/>
              <w:widowControl/>
              <w:spacing w:before="0" w:after="0" w:line="240" w:lineRule="auto"/>
              <w:jc w:val="left"/>
            </w:pPr>
            <w:r>
              <w:rPr>
                <w:rFonts w:ascii="Arial" w:hAnsi="Arial" w:eastAsia="Arial" w:cs="Arial"/>
                <w:b w:val="0"/>
                <w:i w:val="0"/>
                <w:color w:val="111827"/>
                <w:sz w:val="18"/>
              </w:rPr>
              <w:t>Arrival order (timestamp, then emergency id); uses no severity or urgency information.</w:t>
            </w:r>
          </w:p>
        </w:tc>
        <w:tc>
          <w:tcPr>
            <w:tcW w:type="dxa" w:w="2376"/>
            <w:shd w:val="clear" w:color="auto" w:fill="FFFFFF"/>
            <w:vAlign w:val="center"/>
          </w:tcPr>
          <w:p>
            <w:pPr>
              <w:keepNext/>
              <w:widowControl/>
              <w:spacing w:before="0" w:after="0" w:line="240" w:lineRule="auto"/>
              <w:jc w:val="left"/>
            </w:pPr>
            <w:r>
              <w:rPr>
                <w:rFonts w:ascii="Arial" w:hAnsi="Arial" w:eastAsia="Arial" w:cs="Arial"/>
                <w:b w:val="0"/>
                <w:i w:val="0"/>
                <w:color w:val="111827"/>
                <w:sz w:val="18"/>
              </w:rPr>
              <w:t>Allocation policy (baseline)</w:t>
            </w:r>
          </w:p>
        </w:tc>
      </w:tr>
      <w:tr>
        <w:trPr>
          <w:cantSplit/>
        </w:trPr>
        <w:tc>
          <w:tcPr>
            <w:tcW w:type="dxa" w:w="1368"/>
            <w:shd w:val="clear" w:color="auto" w:fill="F8FAFC"/>
            <w:vAlign w:val="center"/>
          </w:tcPr>
          <w:p>
            <w:pPr>
              <w:keepNext/>
              <w:widowControl/>
              <w:spacing w:before="0" w:after="0" w:line="240" w:lineRule="auto"/>
              <w:jc w:val="left"/>
            </w:pPr>
            <w:r>
              <w:rPr>
                <w:rFonts w:ascii="Arial" w:hAnsi="Arial" w:eastAsia="Arial" w:cs="Arial"/>
                <w:b/>
                <w:i w:val="0"/>
                <w:color w:val="111827"/>
                <w:sz w:val="18"/>
              </w:rPr>
              <w:t>AASHRAY</w:t>
            </w:r>
          </w:p>
        </w:tc>
        <w:tc>
          <w:tcPr>
            <w:tcW w:type="dxa" w:w="6149"/>
            <w:shd w:val="clear" w:color="auto" w:fill="F8FAFC"/>
            <w:vAlign w:val="center"/>
          </w:tcPr>
          <w:p>
            <w:pPr>
              <w:keepNext/>
              <w:widowControl/>
              <w:spacing w:before="0" w:after="0" w:line="240" w:lineRule="auto"/>
              <w:jc w:val="left"/>
            </w:pPr>
            <w:r>
              <w:rPr>
                <w:rFonts w:ascii="Arial" w:hAnsi="Arial" w:eastAsia="Arial" w:cs="Arial"/>
                <w:b w:val="0"/>
                <w:i w:val="0"/>
                <w:color w:val="111827"/>
                <w:sz w:val="18"/>
              </w:rPr>
              <w:t>Descending P = 0.5S + 0.5U from the experiment's ranking code (frozen C045; ties in FCFS order). The application's allocation service, whose own score is 0.4S + 0.4U + 0.2 × categorical priority level, got identical inputs (S = 0.5, U = 0.5, MODERATE) for every emergency, so it allocated in exactly this order (verified on every call).</w:t>
            </w:r>
          </w:p>
        </w:tc>
        <w:tc>
          <w:tcPr>
            <w:tcW w:type="dxa" w:w="2376"/>
            <w:shd w:val="clear" w:color="auto" w:fill="F8FAFC"/>
            <w:vAlign w:val="center"/>
          </w:tcPr>
          <w:p>
            <w:pPr>
              <w:keepNext/>
              <w:widowControl/>
              <w:spacing w:before="0" w:after="0" w:line="240" w:lineRule="auto"/>
              <w:jc w:val="left"/>
            </w:pPr>
            <w:r>
              <w:rPr>
                <w:rFonts w:ascii="Arial" w:hAnsi="Arial" w:eastAsia="Arial" w:cs="Arial"/>
                <w:b w:val="0"/>
                <w:i w:val="0"/>
                <w:color w:val="111827"/>
                <w:sz w:val="18"/>
              </w:rPr>
              <w:t>Allocation policy under test</w:t>
            </w:r>
          </w:p>
        </w:tc>
      </w:tr>
      <w:tr>
        <w:trPr>
          <w:cantSplit/>
        </w:trPr>
        <w:tc>
          <w:tcPr>
            <w:tcW w:type="dxa" w:w="1368"/>
            <w:shd w:val="clear" w:color="auto" w:fill="FFFFFF"/>
            <w:vAlign w:val="center"/>
          </w:tcPr>
          <w:p>
            <w:pPr>
              <w:widowControl/>
              <w:spacing w:before="0" w:after="0" w:line="240" w:lineRule="auto"/>
              <w:jc w:val="left"/>
            </w:pPr>
            <w:r>
              <w:rPr>
                <w:rFonts w:ascii="Arial" w:hAnsi="Arial" w:eastAsia="Arial" w:cs="Arial"/>
                <w:b/>
                <w:i w:val="0"/>
                <w:color w:val="111827"/>
                <w:sz w:val="18"/>
              </w:rPr>
              <w:t>MILP</w:t>
            </w:r>
          </w:p>
        </w:tc>
        <w:tc>
          <w:tcPr>
            <w:tcW w:type="dxa" w:w="6149"/>
            <w:shd w:val="clear" w:color="auto" w:fill="FFFFFF"/>
            <w:vAlign w:val="center"/>
          </w:tcPr>
          <w:p>
            <w:pPr>
              <w:widowControl/>
              <w:spacing w:before="0" w:after="0" w:line="240" w:lineRule="auto"/>
              <w:jc w:val="left"/>
            </w:pPr>
            <w:r>
              <w:rPr>
                <w:rFonts w:ascii="Arial" w:hAnsi="Arial" w:eastAsia="Arial" w:cs="Arial"/>
                <w:b w:val="0"/>
                <w:i w:val="0"/>
                <w:color w:val="111827"/>
                <w:sz w:val="18"/>
              </w:rPr>
              <w:t>Integer program maximizing the GT-critical demand units fulfilled (Section 5); not a competing heuristic.</w:t>
            </w:r>
          </w:p>
        </w:tc>
        <w:tc>
          <w:tcPr>
            <w:tcW w:type="dxa" w:w="2376"/>
            <w:shd w:val="clear" w:color="auto" w:fill="FFFFFF"/>
            <w:vAlign w:val="center"/>
          </w:tcPr>
          <w:p>
            <w:pPr>
              <w:widowControl/>
              <w:spacing w:before="0" w:after="0" w:line="240" w:lineRule="auto"/>
              <w:jc w:val="left"/>
            </w:pPr>
            <w:r>
              <w:rPr>
                <w:rFonts w:ascii="Arial" w:hAnsi="Arial" w:eastAsia="Arial" w:cs="Arial"/>
                <w:b w:val="0"/>
                <w:i w:val="0"/>
                <w:color w:val="111827"/>
                <w:sz w:val="18"/>
              </w:rPr>
              <w:t>Optimization benchmark / verification oracle</w:t>
            </w:r>
          </w:p>
        </w:tc>
      </w:tr>
    </w:tbl>
    <w:p>
      <w:pPr>
        <w:pStyle w:val="Heading2"/>
        <w:keepNext/>
        <w:widowControl/>
        <w:spacing w:before="160" w:after="80" w:line="240" w:lineRule="auto"/>
      </w:pPr>
      <w:r>
        <w:rPr>
          <w:rFonts w:ascii="Arial" w:hAnsi="Arial" w:eastAsia="Arial" w:cs="Arial"/>
          <w:b/>
          <w:i w:val="0"/>
          <w:color w:val="000000"/>
          <w:sz w:val="22"/>
        </w:rPr>
        <w:t>AASHRAY priority score and reference criticality</w:t>
      </w:r>
    </w:p>
    <w:p>
      <w:pPr>
        <w:keepNext/>
        <w:widowControl/>
        <w:spacing w:before="80" w:after="0" w:line="264" w:lineRule="auto"/>
      </w:pPr>
      <w:r>
        <w:rPr>
          <w:rFonts w:ascii="Arial" w:hAnsi="Arial" w:eastAsia="Arial" w:cs="Arial"/>
          <w:b w:val="0"/>
          <w:i w:val="0"/>
          <w:color w:val="111827"/>
          <w:sz w:val="20"/>
        </w:rPr>
        <w:t>The development parameter search allowed a generalized priority formulation with normalized weights:</w:t>
      </w:r>
    </w:p>
    <w:p>
      <w:pPr>
        <w:keepNext/>
        <w:widowControl/>
        <w:spacing w:before="40" w:after="80" w:line="240" w:lineRule="auto"/>
        <w:jc w:val="center"/>
      </w:pPr>
      <m:oMathPara>
        <m:oMathParaPr>
          <m:jc m:val="center"/>
        </m:oMathParaPr>
        <m:oMath>
          <m:sSub>
            <m:e>
              <m:r>
                <w:rPr>
                  <w:rFonts w:ascii="Cambria Math" w:hAnsi="Cambria Math"/>
                  <w:sz w:val="21"/>
                </w:rPr>
                <m:t xml:space="preserve">P</m:t>
              </m:r>
            </m:e>
            <m:sub>
              <m:r>
                <w:rPr>
                  <w:rFonts w:ascii="Cambria Math" w:hAnsi="Cambria Math"/>
                  <w:sz w:val="21"/>
                </w:rPr>
                <m:t xml:space="preserve">n</m:t>
              </m:r>
            </m:sub>
          </m:sSub>
          <m:r>
            <w:rPr>
              <w:rFonts w:ascii="Cambria Math" w:hAnsi="Cambria Math"/>
              <w:sz w:val="21"/>
            </w:rPr>
            <m:t xml:space="preserve"> = </m:t>
          </m:r>
          <m:sSup>
            <m:e>
              <m:r>
                <w:rPr>
                  <w:rFonts w:ascii="Cambria Math" w:hAnsi="Cambria Math"/>
                  <w:sz w:val="21"/>
                </w:rPr>
                <m:t xml:space="preserve">S</m:t>
              </m:r>
            </m:e>
            <m:sup>
              <m:r>
                <w:rPr>
                  <w:rFonts w:ascii="Cambria Math" w:hAnsi="Cambria Math"/>
                  <w:sz w:val="21"/>
                </w:rPr>
                <m:t xml:space="preserve">α</m:t>
              </m:r>
            </m:sup>
          </m:sSup>
          <m:sSup>
            <m:e>
              <m:r>
                <w:rPr>
                  <w:rFonts w:ascii="Cambria Math" w:hAnsi="Cambria Math"/>
                  <w:sz w:val="21"/>
                </w:rPr>
                <m:t xml:space="preserve">U</m:t>
              </m:r>
            </m:e>
            <m:sup>
              <m:r>
                <w:rPr>
                  <w:rFonts w:ascii="Cambria Math" w:hAnsi="Cambria Math"/>
                  <w:sz w:val="21"/>
                </w:rPr>
                <m:t xml:space="preserve">1−α</m:t>
              </m:r>
            </m:sup>
          </m:sSup>
          <m:r>
            <m:rPr>
              <m:sty m:val="p"/>
            </m:rPr>
            <w:rPr>
              <w:rFonts w:ascii="Cambria Math" w:hAnsi="Cambria Math"/>
              <w:sz w:val="21"/>
            </w:rPr>
            <m:t xml:space="preserve">,          </m:t>
          </m:r>
          <m:sSub>
            <m:e>
              <m:r>
                <w:rPr>
                  <w:rFonts w:ascii="Cambria Math" w:hAnsi="Cambria Math"/>
                  <w:sz w:val="21"/>
                </w:rPr>
                <m:t xml:space="preserve">P</m:t>
              </m:r>
            </m:e>
            <m:sub>
              <m:r>
                <w:rPr>
                  <w:rFonts w:ascii="Cambria Math" w:hAnsi="Cambria Math"/>
                  <w:sz w:val="21"/>
                </w:rPr>
                <m:t xml:space="preserve">o</m:t>
              </m:r>
            </m:sub>
          </m:sSub>
          <m:r>
            <w:rPr>
              <w:rFonts w:ascii="Cambria Math" w:hAnsi="Cambria Math"/>
              <w:sz w:val="21"/>
            </w:rPr>
            <m:t xml:space="preserve"> = kS + mU + n</m:t>
          </m:r>
          <m:sSub>
            <m:e>
              <m:r>
                <w:rPr>
                  <w:rFonts w:ascii="Cambria Math" w:hAnsi="Cambria Math"/>
                  <w:sz w:val="21"/>
                </w:rPr>
                <m:t xml:space="preserve">P</m:t>
              </m:r>
            </m:e>
            <m:sub>
              <m:r>
                <w:rPr>
                  <w:rFonts w:ascii="Cambria Math" w:hAnsi="Cambria Math"/>
                  <w:sz w:val="21"/>
                </w:rPr>
                <m:t xml:space="preserve">n</m:t>
              </m:r>
            </m:sub>
          </m:sSub>
        </m:oMath>
      </m:oMathPara>
    </w:p>
    <w:p>
      <w:pPr>
        <w:keepNext/>
        <w:widowControl/>
        <w:spacing w:before="0" w:after="0" w:line="264" w:lineRule="auto"/>
      </w:pPr>
      <w:r>
        <w:rPr>
          <w:rFonts w:ascii="Arial" w:hAnsi="Arial" w:eastAsia="Arial" w:cs="Arial"/>
          <w:b w:val="0"/>
          <w:i w:val="0"/>
          <w:color w:val="111827"/>
          <w:sz w:val="20"/>
        </w:rPr>
        <w:t>It selected configuration C045 (α = 0, k = 0.5, m = 0, n = 0.5). With α = 0 the geometric term reduces to P</w:t>
      </w:r>
      <w:r>
        <w:rPr>
          <w:rFonts w:ascii="Arial" w:hAnsi="Arial" w:eastAsia="Arial" w:cs="Arial"/>
          <w:b w:val="0"/>
          <w:i w:val="0"/>
          <w:color w:val="111827"/>
          <w:sz w:val="20"/>
          <w:vertAlign w:val="subscript"/>
        </w:rPr>
        <w:t>n</w:t>
      </w:r>
      <w:r>
        <w:rPr>
          <w:rFonts w:ascii="Arial" w:hAnsi="Arial" w:eastAsia="Arial" w:cs="Arial"/>
          <w:b w:val="0"/>
          <w:i w:val="0"/>
          <w:color w:val="111827"/>
          <w:sz w:val="20"/>
        </w:rPr>
        <w:t xml:space="preserve"> = U, so the frozen AASHRAY priority score is</w:t>
      </w:r>
    </w:p>
    <w:p>
      <w:pPr>
        <w:keepNext/>
        <w:widowControl/>
        <w:spacing w:before="40" w:after="80" w:line="240" w:lineRule="auto"/>
        <w:jc w:val="center"/>
      </w:pPr>
      <m:oMathPara>
        <m:oMathParaPr>
          <m:jc m:val="center"/>
        </m:oMathParaPr>
        <m:oMath>
          <m:sSub>
            <m:e>
              <m:r>
                <w:rPr>
                  <w:rFonts w:ascii="Cambria Math" w:hAnsi="Cambria Math"/>
                  <w:sz w:val="21"/>
                </w:rPr>
                <m:t xml:space="preserve">P</m:t>
              </m:r>
            </m:e>
            <m:sub>
              <m:r>
                <w:rPr>
                  <w:rFonts w:ascii="Cambria Math" w:hAnsi="Cambria Math"/>
                  <w:sz w:val="21"/>
                </w:rPr>
                <m:t xml:space="preserve">i</m:t>
              </m:r>
            </m:sub>
          </m:sSub>
          <m:r>
            <w:rPr>
              <w:rFonts w:ascii="Cambria Math" w:hAnsi="Cambria Math"/>
              <w:sz w:val="21"/>
            </w:rPr>
            <m:t xml:space="preserve"> = 0.5</m:t>
          </m:r>
          <m:sSub>
            <m:e>
              <m:r>
                <w:rPr>
                  <w:rFonts w:ascii="Cambria Math" w:hAnsi="Cambria Math"/>
                  <w:sz w:val="21"/>
                </w:rPr>
                <m:t xml:space="preserve">S</m:t>
              </m:r>
            </m:e>
            <m:sub>
              <m:r>
                <w:rPr>
                  <w:rFonts w:ascii="Cambria Math" w:hAnsi="Cambria Math"/>
                  <w:sz w:val="21"/>
                </w:rPr>
                <m:t xml:space="preserve">i</m:t>
              </m:r>
            </m:sub>
          </m:sSub>
          <m:r>
            <w:rPr>
              <w:rFonts w:ascii="Cambria Math" w:hAnsi="Cambria Math"/>
              <w:sz w:val="21"/>
            </w:rPr>
            <m:t xml:space="preserve"> + 0.5</m:t>
          </m:r>
          <m:sSub>
            <m:e>
              <m:r>
                <w:rPr>
                  <w:rFonts w:ascii="Cambria Math" w:hAnsi="Cambria Math"/>
                  <w:sz w:val="21"/>
                </w:rPr>
                <m:t xml:space="preserve">U</m:t>
              </m:r>
            </m:e>
            <m:sub>
              <m:r>
                <w:rPr>
                  <w:rFonts w:ascii="Cambria Math" w:hAnsi="Cambria Math"/>
                  <w:sz w:val="21"/>
                </w:rPr>
                <m:t xml:space="preserve">i</m:t>
              </m:r>
            </m:sub>
          </m:sSub>
        </m:oMath>
      </m:oMathPara>
    </w:p>
    <w:tbl>
      <w:tblPr>
        <w:tblW w:type="dxa" w:w="9893"/>
        <w:jc w:val="center"/>
        <w:tblBorders>
          <w:top w:val="single" w:sz="4" w:space="0" w:color="BFDBFE"/>
          <w:left w:val="single" w:sz="4" w:space="0" w:color="BFDBFE"/>
          <w:bottom w:val="single" w:sz="4" w:space="0" w:color="BFDBFE"/>
          <w:right w:val="single" w:sz="4" w:space="0" w:color="BFDBFE"/>
          <w:insideH w:val="single" w:sz="4" w:space="0" w:color="BFDBFE"/>
          <w:insideV w:val="single" w:sz="4" w:space="0" w:color="BFDBFE"/>
        </w:tblBorders>
        <w:tblLayout w:type="fixed"/>
        <w:tblCellMar>
          <w:top w:w="80" w:type="dxa"/>
          <w:left w:w="120" w:type="dxa"/>
          <w:bottom w:w="80" w:type="dxa"/>
          <w:right w:w="120" w:type="dxa"/>
        </w:tblCellMar>
        <w:tblLook w:firstColumn="1" w:firstRow="1" w:lastColumn="0" w:lastRow="0" w:noHBand="0" w:noVBand="1" w:val="04A0"/>
      </w:tblPr>
      <w:tblGrid>
        <w:gridCol w:w="9893"/>
      </w:tblGrid>
      <w:tr>
        <w:trPr>
          <w:cantSplit/>
        </w:trPr>
        <w:tc>
          <w:tcPr>
            <w:tcW w:type="dxa" w:w="9893"/>
            <w:shd w:val="clear" w:color="auto" w:fill="DBEAFE"/>
          </w:tcPr>
          <w:p>
            <w:pPr>
              <w:widowControl/>
              <w:spacing w:before="0" w:after="0" w:line="264" w:lineRule="auto"/>
            </w:pPr>
            <w:r>
              <w:rPr>
                <w:rFonts w:ascii="Arial" w:hAnsi="Arial" w:eastAsia="Arial" w:cs="Arial"/>
                <w:b/>
                <w:i w:val="0"/>
                <w:color w:val="0F172A"/>
                <w:sz w:val="20"/>
              </w:rPr>
              <w:t>The parameter search selected a policy mathematically equivalent to a balanced linear severity–urgency score, P = 0.5S + 0.5U. The geometric component therefore does not contribute to the final experimental policy.</w:t>
            </w:r>
          </w:p>
        </w:tc>
      </w:tr>
    </w:tbl>
    <w:p>
      <w:pPr>
        <w:keepNext/>
        <w:widowControl/>
        <w:spacing w:before="140" w:after="0" w:line="264" w:lineRule="auto"/>
      </w:pPr>
      <w:r>
        <w:rPr>
          <w:rFonts w:ascii="Arial" w:hAnsi="Arial" w:eastAsia="Arial" w:cs="Arial"/>
          <w:b w:val="0"/>
          <w:i w:val="0"/>
          <w:color w:val="111827"/>
          <w:sz w:val="20"/>
        </w:rPr>
        <w:t xml:space="preserve">The AASHRAY priority score and the reference criticality rule are separate scoring mechanisms. The reference criticality rule is fixed independently of the AASHRAY configuration and allocation method, but it is derived from the same severity (S) and urgency (U) variables used by the priority score. It uses no AASHRAY parameter (α, k, m, n) and no allocation output. An emergency is </w:t>
      </w:r>
      <w:r>
        <w:rPr>
          <w:rFonts w:ascii="Arial" w:hAnsi="Arial" w:eastAsia="Arial" w:cs="Arial"/>
          <w:b/>
          <w:i w:val="0"/>
          <w:color w:val="111827"/>
          <w:sz w:val="20"/>
        </w:rPr>
        <w:t>GT-critical</w:t>
      </w:r>
      <w:r>
        <w:rPr>
          <w:rFonts w:ascii="Arial" w:hAnsi="Arial" w:eastAsia="Arial" w:cs="Arial"/>
          <w:b w:val="0"/>
          <w:i w:val="0"/>
          <w:color w:val="111827"/>
          <w:sz w:val="20"/>
        </w:rPr>
        <w:t xml:space="preserve"> (reference-critical) when GT</w:t>
      </w:r>
      <w:r>
        <w:rPr>
          <w:rFonts w:ascii="Arial" w:hAnsi="Arial" w:eastAsia="Arial" w:cs="Arial"/>
          <w:b w:val="0"/>
          <w:i w:val="0"/>
          <w:color w:val="111827"/>
          <w:sz w:val="20"/>
          <w:vertAlign w:val="subscript"/>
        </w:rPr>
        <w:t>i</w:t>
      </w:r>
      <w:r>
        <w:rPr>
          <w:rFonts w:ascii="Arial" w:hAnsi="Arial" w:eastAsia="Arial" w:cs="Arial"/>
          <w:b w:val="0"/>
          <w:i w:val="0"/>
          <w:color w:val="111827"/>
          <w:sz w:val="20"/>
        </w:rPr>
        <w:t xml:space="preserve"> = 1:</w:t>
      </w:r>
    </w:p>
    <w:p>
      <w:pPr>
        <w:keepNext/>
        <w:widowControl/>
        <w:spacing w:before="40" w:after="80" w:line="240" w:lineRule="auto"/>
        <w:jc w:val="center"/>
      </w:pPr>
      <m:oMathPara>
        <m:oMathParaPr>
          <m:jc m:val="center"/>
        </m:oMathParaPr>
        <m:oMath>
          <m:sSub>
            <m:e>
              <m:r>
                <m:rPr>
                  <m:sty m:val="p"/>
                </m:rPr>
                <w:rPr>
                  <w:rFonts w:ascii="Cambria Math" w:hAnsi="Cambria Math"/>
                  <w:sz w:val="21"/>
                </w:rPr>
                <m:t xml:space="preserve">GT</m:t>
              </m:r>
            </m:e>
            <m:sub>
              <m:r>
                <w:rPr>
                  <w:rFonts w:ascii="Cambria Math" w:hAnsi="Cambria Math"/>
                  <w:sz w:val="21"/>
                </w:rPr>
                <m:t xml:space="preserve">i</m:t>
              </m:r>
            </m:sub>
          </m:sSub>
          <m:r>
            <w:rPr>
              <w:rFonts w:ascii="Cambria Math" w:hAnsi="Cambria Math"/>
              <w:sz w:val="21"/>
            </w:rPr>
            <m:t xml:space="preserve"> = </m:t>
          </m:r>
          <m:d>
            <m:dPr>
              <m:begChr m:val="{"/>
              <m:endChr m:val=""/>
            </m:dPr>
            <m:e>
              <m:m>
                <m:mPr>
                  <m:baseJc m:val="center"/>
                  <m:cGpRule m:val="3"/>
                  <m:cGp m:val="200"/>
                  <m:mcs>
                    <m:mc>
                      <m:mcPr>
                        <m:count m:val="2"/>
                        <m:mcJc m:val="left"/>
                      </m:mcPr>
                    </m:mc>
                  </m:mcs>
                </m:mPr>
                <m:mr>
                  <m:e>
                    <m:r>
                      <w:rPr>
                        <w:rFonts w:ascii="Cambria Math" w:hAnsi="Cambria Math"/>
                        <w:sz w:val="21"/>
                      </w:rPr>
                      <m:t xml:space="preserve">1,</m:t>
                    </m:r>
                  </m:e>
                  <m:e>
                    <m:r>
                      <m:rPr>
                        <m:sty m:val="p"/>
                      </m:rPr>
                      <w:rPr>
                        <w:rFonts w:ascii="Cambria Math" w:hAnsi="Cambria Math"/>
                        <w:sz w:val="21"/>
                      </w:rPr>
                      <m:t xml:space="preserve">if  </m:t>
                    </m:r>
                    <m:d>
                      <m:dPr>
                        <m:begChr m:val="("/>
                        <m:endChr m:val=")"/>
                      </m:dPr>
                      <m:e>
                        <m:sSub>
                          <m:e>
                            <m:r>
                              <w:rPr>
                                <w:rFonts w:ascii="Cambria Math" w:hAnsi="Cambria Math"/>
                                <w:sz w:val="21"/>
                              </w:rPr>
                              <m:t xml:space="preserve">S</m:t>
                            </m:r>
                          </m:e>
                          <m:sub>
                            <m:r>
                              <w:rPr>
                                <w:rFonts w:ascii="Cambria Math" w:hAnsi="Cambria Math"/>
                                <w:sz w:val="21"/>
                              </w:rPr>
                              <m:t xml:space="preserve">i</m:t>
                            </m:r>
                          </m:sub>
                        </m:sSub>
                        <m:r>
                          <w:rPr>
                            <w:rFonts w:ascii="Cambria Math" w:hAnsi="Cambria Math"/>
                            <w:sz w:val="21"/>
                          </w:rPr>
                          <m:t xml:space="preserve"> ≥ 0.8 ∧ </m:t>
                        </m:r>
                        <m:sSub>
                          <m:e>
                            <m:r>
                              <w:rPr>
                                <w:rFonts w:ascii="Cambria Math" w:hAnsi="Cambria Math"/>
                                <w:sz w:val="21"/>
                              </w:rPr>
                              <m:t xml:space="preserve">U</m:t>
                            </m:r>
                          </m:e>
                          <m:sub>
                            <m:r>
                              <w:rPr>
                                <w:rFonts w:ascii="Cambria Math" w:hAnsi="Cambria Math"/>
                                <w:sz w:val="21"/>
                              </w:rPr>
                              <m:t xml:space="preserve">i</m:t>
                            </m:r>
                          </m:sub>
                        </m:sSub>
                        <m:r>
                          <w:rPr>
                            <w:rFonts w:ascii="Cambria Math" w:hAnsi="Cambria Math"/>
                            <w:sz w:val="21"/>
                          </w:rPr>
                          <m:t xml:space="preserve"> ≥ 0.8</m:t>
                        </m:r>
                      </m:e>
                    </m:d>
                    <m:r>
                      <w:rPr>
                        <w:rFonts w:ascii="Cambria Math" w:hAnsi="Cambria Math"/>
                        <w:sz w:val="21"/>
                      </w:rPr>
                      <m:t xml:space="preserve"> ∨ </m:t>
                    </m:r>
                    <m:sSub>
                      <m:e>
                        <m:r>
                          <w:rPr>
                            <w:rFonts w:ascii="Cambria Math" w:hAnsi="Cambria Math"/>
                            <w:sz w:val="21"/>
                          </w:rPr>
                          <m:t xml:space="preserve">S</m:t>
                        </m:r>
                      </m:e>
                      <m:sub>
                        <m:r>
                          <w:rPr>
                            <w:rFonts w:ascii="Cambria Math" w:hAnsi="Cambria Math"/>
                            <w:sz w:val="21"/>
                          </w:rPr>
                          <m:t xml:space="preserve">i</m:t>
                        </m:r>
                      </m:sub>
                    </m:sSub>
                    <m:r>
                      <w:rPr>
                        <w:rFonts w:ascii="Cambria Math" w:hAnsi="Cambria Math"/>
                        <w:sz w:val="21"/>
                      </w:rPr>
                      <m:t xml:space="preserve"> ≥ 0.95 ∨ </m:t>
                    </m:r>
                    <m:sSub>
                      <m:e>
                        <m:r>
                          <w:rPr>
                            <w:rFonts w:ascii="Cambria Math" w:hAnsi="Cambria Math"/>
                            <w:sz w:val="21"/>
                          </w:rPr>
                          <m:t xml:space="preserve">U</m:t>
                        </m:r>
                      </m:e>
                      <m:sub>
                        <m:r>
                          <w:rPr>
                            <w:rFonts w:ascii="Cambria Math" w:hAnsi="Cambria Math"/>
                            <w:sz w:val="21"/>
                          </w:rPr>
                          <m:t xml:space="preserve">i</m:t>
                        </m:r>
                      </m:sub>
                    </m:sSub>
                    <m:r>
                      <w:rPr>
                        <w:rFonts w:ascii="Cambria Math" w:hAnsi="Cambria Math"/>
                        <w:sz w:val="21"/>
                      </w:rPr>
                      <m:t xml:space="preserve"> ≥ 0.95</m:t>
                    </m:r>
                  </m:e>
                </m:mr>
                <m:mr>
                  <m:e>
                    <m:r>
                      <w:rPr>
                        <w:rFonts w:ascii="Cambria Math" w:hAnsi="Cambria Math"/>
                        <w:sz w:val="21"/>
                      </w:rPr>
                      <m:t xml:space="preserve">0,</m:t>
                    </m:r>
                  </m:e>
                  <m:e>
                    <m:r>
                      <m:rPr>
                        <m:sty m:val="p"/>
                      </m:rPr>
                      <w:rPr>
                        <w:rFonts w:ascii="Cambria Math" w:hAnsi="Cambria Math"/>
                        <w:sz w:val="21"/>
                      </w:rPr>
                      <m:t xml:space="preserve">otherwise</m:t>
                    </m:r>
                  </m:e>
                </m:mr>
              </m:m>
            </m:e>
          </m:d>
        </m:oMath>
      </m:oMathPara>
    </w:p>
    <w:p>
      <w:pPr>
        <w:widowControl/>
        <w:spacing w:before="0" w:after="100" w:line="264" w:lineRule="auto"/>
      </w:pPr>
      <w:r>
        <w:rPr>
          <w:rFonts w:ascii="Arial" w:hAnsi="Arial" w:eastAsia="Arial" w:cs="Arial"/>
          <w:b w:val="0"/>
          <w:i w:val="0"/>
          <w:color w:val="111827"/>
          <w:sz w:val="20"/>
        </w:rPr>
        <w:t>This is a predefined simulation reference criterion for evaluating allocation priority; it is not an externally validated operational or clinical definition of real-world criticality. Throughout this report, “critical” refers only to this GT-critical label; the AASHRAY priority score P is a separate quantity and is never used to define CDC.</w:t>
      </w:r>
    </w:p>
    <w:p>
      <w:pPr>
        <w:pStyle w:val="Heading3"/>
        <w:keepNext/>
        <w:widowControl/>
        <w:spacing w:before="200" w:after="80" w:line="240" w:lineRule="auto"/>
      </w:pPr>
      <w:r>
        <w:rPr>
          <w:rFonts w:ascii="Arial" w:hAnsi="Arial" w:eastAsia="Arial" w:cs="Arial"/>
          <w:b/>
          <w:i w:val="0"/>
          <w:color w:val="1D4ED8"/>
          <w:sz w:val="24"/>
        </w:rPr>
        <w:t>Test design</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2232"/>
        <w:gridCol w:w="7661"/>
      </w:tblGrid>
      <w:tr>
        <w:trPr>
          <w:cantSplit/>
          <w:tblHeader/>
        </w:trPr>
        <w:tc>
          <w:tcPr>
            <w:tcW w:type="dxa" w:w="2232"/>
            <w:shd w:val="clear" w:color="auto" w:fill="0F172A"/>
            <w:vAlign w:val="center"/>
          </w:tcPr>
          <w:p>
            <w:pPr>
              <w:keepNext/>
              <w:widowControl/>
              <w:spacing w:before="0" w:after="0" w:line="240" w:lineRule="auto"/>
              <w:jc w:val="left"/>
            </w:pPr>
            <w:r>
              <w:rPr>
                <w:rFonts w:ascii="Arial" w:hAnsi="Arial" w:eastAsia="Arial" w:cs="Arial"/>
                <w:b/>
                <w:i w:val="0"/>
                <w:color w:val="FFFFFF"/>
                <w:sz w:val="18"/>
              </w:rPr>
              <w:t>Item</w:t>
            </w:r>
          </w:p>
        </w:tc>
        <w:tc>
          <w:tcPr>
            <w:tcW w:type="dxa" w:w="7661"/>
            <w:shd w:val="clear" w:color="auto" w:fill="0F172A"/>
            <w:vAlign w:val="center"/>
          </w:tcPr>
          <w:p>
            <w:pPr>
              <w:keepNext/>
              <w:widowControl/>
              <w:spacing w:before="0" w:after="0" w:line="240" w:lineRule="auto"/>
              <w:jc w:val="left"/>
            </w:pPr>
            <w:r>
              <w:rPr>
                <w:rFonts w:ascii="Arial" w:hAnsi="Arial" w:eastAsia="Arial" w:cs="Arial"/>
                <w:b/>
                <w:i w:val="0"/>
                <w:color w:val="FFFFFF"/>
                <w:sz w:val="18"/>
              </w:rPr>
              <w:t>Specification</w:t>
            </w:r>
          </w:p>
        </w:tc>
      </w:tr>
      <w:tr>
        <w:trPr>
          <w:cantSplit/>
        </w:trPr>
        <w:tc>
          <w:tcPr>
            <w:tcW w:type="dxa" w:w="2232"/>
            <w:shd w:val="clear" w:color="auto" w:fill="FFFFFF"/>
            <w:vAlign w:val="center"/>
          </w:tcPr>
          <w:p>
            <w:pPr>
              <w:keepNext/>
              <w:widowControl/>
              <w:spacing w:before="0" w:after="0" w:line="240" w:lineRule="auto"/>
              <w:jc w:val="left"/>
            </w:pPr>
            <w:r>
              <w:rPr>
                <w:rFonts w:ascii="Arial" w:hAnsi="Arial" w:eastAsia="Arial" w:cs="Arial"/>
                <w:b/>
                <w:i w:val="0"/>
                <w:color w:val="111827"/>
                <w:sz w:val="18"/>
              </w:rPr>
              <w:t>Design</w:t>
            </w:r>
          </w:p>
        </w:tc>
        <w:tc>
          <w:tcPr>
            <w:tcW w:type="dxa" w:w="7661"/>
            <w:shd w:val="clear" w:color="auto" w:fill="FFFFFF"/>
            <w:vAlign w:val="center"/>
          </w:tcPr>
          <w:p>
            <w:pPr>
              <w:keepNext/>
              <w:widowControl/>
              <w:spacing w:before="0" w:after="0" w:line="240" w:lineRule="auto"/>
              <w:jc w:val="left"/>
            </w:pPr>
            <w:r>
              <w:rPr>
                <w:rFonts w:ascii="Arial" w:hAnsi="Arial" w:eastAsia="Arial" w:cs="Arial"/>
                <w:b w:val="0"/>
                <w:i w:val="0"/>
                <w:color w:val="111827"/>
                <w:sz w:val="18"/>
              </w:rPr>
              <w:t>Paired, within-scenario comparison; FCFS, AASHRAY and the MILP benchmark get identical inputs.</w:t>
            </w:r>
          </w:p>
        </w:tc>
      </w:tr>
      <w:tr>
        <w:trPr>
          <w:cantSplit/>
        </w:trPr>
        <w:tc>
          <w:tcPr>
            <w:tcW w:type="dxa" w:w="2232"/>
            <w:shd w:val="clear" w:color="auto" w:fill="F8FAFC"/>
            <w:vAlign w:val="center"/>
          </w:tcPr>
          <w:p>
            <w:pPr>
              <w:keepNext/>
              <w:widowControl/>
              <w:spacing w:before="0" w:after="0" w:line="240" w:lineRule="auto"/>
              <w:jc w:val="left"/>
            </w:pPr>
            <w:r>
              <w:rPr>
                <w:rFonts w:ascii="Arial" w:hAnsi="Arial" w:eastAsia="Arial" w:cs="Arial"/>
                <w:b/>
                <w:i w:val="0"/>
                <w:color w:val="111827"/>
                <w:sz w:val="18"/>
              </w:rPr>
              <w:t>Dataset</w:t>
            </w:r>
          </w:p>
        </w:tc>
        <w:tc>
          <w:tcPr>
            <w:tcW w:type="dxa" w:w="7661"/>
            <w:shd w:val="clear" w:color="auto" w:fill="F8FAFC"/>
            <w:vAlign w:val="center"/>
          </w:tcPr>
          <w:p>
            <w:pPr>
              <w:keepNext/>
              <w:widowControl/>
              <w:spacing w:before="0" w:after="0" w:line="240" w:lineRule="auto"/>
              <w:jc w:val="left"/>
            </w:pPr>
            <w:r>
              <w:rPr>
                <w:rFonts w:ascii="Arial" w:hAnsi="Arial" w:eastAsia="Arial" w:cs="Arial"/>
                <w:b w:val="0"/>
                <w:i w:val="0"/>
                <w:color w:val="111827"/>
                <w:sz w:val="18"/>
              </w:rPr>
              <w:t>12,000 independently generated held-out synthetic disaster scenarios; seed 20261209; namespace aashray-resource-allocation-final.</w:t>
            </w:r>
          </w:p>
        </w:tc>
      </w:tr>
      <w:tr>
        <w:trPr>
          <w:cantSplit/>
        </w:trPr>
        <w:tc>
          <w:tcPr>
            <w:tcW w:type="dxa" w:w="2232"/>
            <w:shd w:val="clear" w:color="auto" w:fill="FFFFFF"/>
            <w:vAlign w:val="center"/>
          </w:tcPr>
          <w:p>
            <w:pPr>
              <w:keepNext/>
              <w:widowControl/>
              <w:spacing w:before="0" w:after="0" w:line="240" w:lineRule="auto"/>
              <w:jc w:val="left"/>
            </w:pPr>
            <w:r>
              <w:rPr>
                <w:rFonts w:ascii="Arial" w:hAnsi="Arial" w:eastAsia="Arial" w:cs="Arial"/>
                <w:b/>
                <w:i w:val="0"/>
                <w:color w:val="111827"/>
                <w:sz w:val="18"/>
              </w:rPr>
              <w:t>Scarcity strata (pre-registered)</w:t>
            </w:r>
          </w:p>
        </w:tc>
        <w:tc>
          <w:tcPr>
            <w:tcW w:type="dxa" w:w="7661"/>
            <w:shd w:val="clear" w:color="auto" w:fill="FFFFFF"/>
            <w:vAlign w:val="center"/>
          </w:tcPr>
          <w:p>
            <w:pPr>
              <w:keepNext/>
              <w:widowControl/>
              <w:spacing w:before="0" w:after="0" w:line="240" w:lineRule="auto"/>
              <w:jc w:val="left"/>
            </w:pPr>
            <w:r>
              <w:rPr>
                <w:rFonts w:ascii="Arial" w:hAnsi="Arial" w:eastAsia="Arial" w:cs="Arial"/>
                <w:b w:val="0"/>
                <w:i w:val="0"/>
                <w:color w:val="111827"/>
                <w:sz w:val="18"/>
              </w:rPr>
              <w:t>LOW 1,200 (supply/demand ratio 1.15–1.60) · MODERATE 4,800 (0.90–1.10) · HIGH 6,000 (0.30–0.70) · total 12,000.</w:t>
            </w:r>
          </w:p>
        </w:tc>
      </w:tr>
      <w:tr>
        <w:trPr>
          <w:cantSplit/>
        </w:trPr>
        <w:tc>
          <w:tcPr>
            <w:tcW w:type="dxa" w:w="2232"/>
            <w:shd w:val="clear" w:color="auto" w:fill="F8FAFC"/>
            <w:vAlign w:val="center"/>
          </w:tcPr>
          <w:p>
            <w:pPr>
              <w:keepNext/>
              <w:widowControl/>
              <w:spacing w:before="0" w:after="0" w:line="240" w:lineRule="auto"/>
              <w:jc w:val="left"/>
            </w:pPr>
            <w:r>
              <w:rPr>
                <w:rFonts w:ascii="Arial" w:hAnsi="Arial" w:eastAsia="Arial" w:cs="Arial"/>
                <w:b/>
                <w:i w:val="0"/>
                <w:color w:val="111827"/>
                <w:sz w:val="18"/>
              </w:rPr>
              <w:t>Scenario composition</w:t>
            </w:r>
          </w:p>
        </w:tc>
        <w:tc>
          <w:tcPr>
            <w:tcW w:type="dxa" w:w="7661"/>
            <w:shd w:val="clear" w:color="auto" w:fill="F8FAFC"/>
            <w:vAlign w:val="center"/>
          </w:tcPr>
          <w:p>
            <w:pPr>
              <w:keepNext/>
              <w:widowControl/>
              <w:spacing w:before="0" w:after="0" w:line="240" w:lineRule="auto"/>
              <w:jc w:val="left"/>
            </w:pPr>
            <w:r>
              <w:rPr>
                <w:rFonts w:ascii="Arial" w:hAnsi="Arial" w:eastAsia="Arial" w:cs="Arial"/>
                <w:b w:val="0"/>
                <w:i w:val="0"/>
                <w:color w:val="111827"/>
                <w:sz w:val="18"/>
              </w:rPr>
              <w:t>3–30 emergencies per scenario (size classes 3–6, 8–14, 18–30; mean 13.16; 157,889 emergencies, 28,393 GT-critical) and 2–5 warehouses; water, food and medical kits; 5 severity–urgency profiles, each scarcity level spread evenly over 15 size × profile cells; arrivals within a 3,600 s window; demand drawn independently of S, U and arrival.</w:t>
            </w:r>
          </w:p>
        </w:tc>
      </w:tr>
      <w:tr>
        <w:trPr>
          <w:cantSplit/>
        </w:trPr>
        <w:tc>
          <w:tcPr>
            <w:tcW w:type="dxa" w:w="2232"/>
            <w:shd w:val="clear" w:color="auto" w:fill="FFFFFF"/>
            <w:vAlign w:val="center"/>
          </w:tcPr>
          <w:p>
            <w:pPr>
              <w:keepNext/>
              <w:widowControl/>
              <w:spacing w:before="0" w:after="0" w:line="240" w:lineRule="auto"/>
              <w:jc w:val="left"/>
            </w:pPr>
            <w:r>
              <w:rPr>
                <w:rFonts w:ascii="Arial" w:hAnsi="Arial" w:eastAsia="Arial" w:cs="Arial"/>
                <w:b/>
                <w:i w:val="0"/>
                <w:color w:val="111827"/>
                <w:sz w:val="18"/>
              </w:rPr>
              <w:t>Primary metric and test</w:t>
            </w:r>
          </w:p>
        </w:tc>
        <w:tc>
          <w:tcPr>
            <w:tcW w:type="dxa" w:w="7661"/>
            <w:shd w:val="clear" w:color="auto" w:fill="FFFFFF"/>
            <w:vAlign w:val="center"/>
          </w:tcPr>
          <w:p>
            <w:pPr>
              <w:keepNext/>
              <w:widowControl/>
              <w:spacing w:before="0" w:after="0" w:line="240" w:lineRule="auto"/>
              <w:jc w:val="left"/>
            </w:pPr>
            <w:r>
              <w:rPr>
                <w:rFonts w:ascii="Arial" w:hAnsi="Arial" w:eastAsia="Arial" w:cs="Arial"/>
                <w:b w:val="0"/>
                <w:i w:val="0"/>
                <w:color w:val="111827"/>
                <w:sz w:val="18"/>
              </w:rPr>
              <w:t>CDC. One-sided paired sign-flip permutation test of mean Δ; 100,000 permutations; seed 20261210; α = 0.05.</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Secondary statistics</w:t>
            </w:r>
          </w:p>
        </w:tc>
        <w:tc>
          <w:tcPr>
            <w:tcW w:type="dxa" w:w="7661"/>
            <w:shd w:val="clear" w:color="auto" w:fill="F8FAFC"/>
            <w:vAlign w:val="center"/>
          </w:tcPr>
          <w:p>
            <w:pPr>
              <w:widowControl/>
              <w:spacing w:before="0" w:after="0" w:line="240" w:lineRule="auto"/>
              <w:jc w:val="left"/>
            </w:pPr>
            <w:r>
              <w:rPr>
                <w:rFonts w:ascii="Arial" w:hAnsi="Arial" w:eastAsia="Arial" w:cs="Arial"/>
                <w:b w:val="0"/>
                <w:i w:val="0"/>
                <w:color w:val="111827"/>
                <w:sz w:val="18"/>
              </w:rPr>
              <w:t>Paired percentile bootstrap 95% CI (10,000 resamples, seed 20261211); one-sided Wilcoxon signed-rank test; Cohen's d</w:t>
            </w:r>
            <w:r>
              <w:rPr>
                <w:rFonts w:ascii="Arial" w:hAnsi="Arial" w:eastAsia="Arial" w:cs="Arial"/>
                <w:b w:val="0"/>
                <w:i w:val="0"/>
                <w:color w:val="111827"/>
                <w:sz w:val="18"/>
                <w:vertAlign w:val="subscript"/>
              </w:rPr>
              <w:t>z</w:t>
            </w:r>
            <w:r>
              <w:rPr>
                <w:rFonts w:ascii="Arial" w:hAnsi="Arial" w:eastAsia="Arial" w:cs="Arial"/>
                <w:b w:val="0"/>
                <w:i w:val="0"/>
                <w:color w:val="111827"/>
                <w:sz w:val="18"/>
              </w:rPr>
              <w:t>; win/tie/loss; probability of superiority. Tie rule |Δ| ≤ 10</w:t>
            </w:r>
            <w:r>
              <w:rPr>
                <w:rFonts w:ascii="Arial" w:hAnsi="Arial" w:eastAsia="Arial" w:cs="Arial"/>
                <w:b w:val="0"/>
                <w:i w:val="0"/>
                <w:color w:val="111827"/>
                <w:sz w:val="18"/>
                <w:vertAlign w:val="superscript"/>
              </w:rPr>
              <w:t>−9</w:t>
            </w:r>
            <w:r>
              <w:rPr>
                <w:rFonts w:ascii="Arial" w:hAnsi="Arial" w:eastAsia="Arial" w:cs="Arial"/>
                <w:b w:val="0"/>
                <w:i w:val="0"/>
                <w:color w:val="111827"/>
                <w:sz w:val="18"/>
              </w:rPr>
              <w:t>. Descriptive: optimality gap (H2), runtime (H3), Total Demand Coverage (TDC).</w:t>
            </w:r>
          </w:p>
        </w:tc>
      </w:tr>
    </w:tbl>
    <w:p>
      <w:pPr>
        <w:pStyle w:val="Heading2"/>
        <w:keepNext/>
        <w:widowControl/>
        <w:spacing w:before="160" w:after="80" w:line="240" w:lineRule="auto"/>
      </w:pPr>
      <w:r>
        <w:rPr>
          <w:rFonts w:ascii="Arial" w:hAnsi="Arial" w:eastAsia="Arial" w:cs="Arial"/>
          <w:b/>
          <w:i w:val="0"/>
          <w:color w:val="000000"/>
          <w:sz w:val="22"/>
        </w:rPr>
        <w:t>Experimental integrity and reproducibility</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2232"/>
        <w:gridCol w:w="7661"/>
      </w:tblGrid>
      <w:tr>
        <w:trPr>
          <w:cantSplit/>
          <w:tblHeader/>
        </w:trPr>
        <w:tc>
          <w:tcPr>
            <w:tcW w:type="dxa" w:w="2232"/>
            <w:shd w:val="clear" w:color="auto" w:fill="0F172A"/>
            <w:vAlign w:val="center"/>
          </w:tcPr>
          <w:p>
            <w:pPr>
              <w:keepNext/>
              <w:widowControl/>
              <w:spacing w:before="0" w:after="0" w:line="240" w:lineRule="auto"/>
              <w:jc w:val="left"/>
            </w:pPr>
            <w:r>
              <w:rPr>
                <w:rFonts w:ascii="Arial" w:hAnsi="Arial" w:eastAsia="Arial" w:cs="Arial"/>
                <w:b/>
                <w:i w:val="0"/>
                <w:color w:val="FFFFFF"/>
                <w:sz w:val="18"/>
              </w:rPr>
              <w:t>Check</w:t>
            </w:r>
          </w:p>
        </w:tc>
        <w:tc>
          <w:tcPr>
            <w:tcW w:type="dxa" w:w="7661"/>
            <w:shd w:val="clear" w:color="auto" w:fill="0F172A"/>
            <w:vAlign w:val="center"/>
          </w:tcPr>
          <w:p>
            <w:pPr>
              <w:keepNext/>
              <w:widowControl/>
              <w:spacing w:before="0" w:after="0" w:line="240" w:lineRule="auto"/>
              <w:jc w:val="left"/>
            </w:pPr>
            <w:r>
              <w:rPr>
                <w:rFonts w:ascii="Arial" w:hAnsi="Arial" w:eastAsia="Arial" w:cs="Arial"/>
                <w:b/>
                <w:i w:val="0"/>
                <w:color w:val="FFFFFF"/>
                <w:sz w:val="18"/>
              </w:rPr>
              <w:t>Result</w:t>
            </w:r>
          </w:p>
        </w:tc>
      </w:tr>
      <w:tr>
        <w:trPr>
          <w:cantSplit/>
        </w:trPr>
        <w:tc>
          <w:tcPr>
            <w:tcW w:type="dxa" w:w="2232"/>
            <w:shd w:val="clear" w:color="auto" w:fill="FFFFFF"/>
            <w:vAlign w:val="center"/>
          </w:tcPr>
          <w:p>
            <w:pPr>
              <w:widowControl/>
              <w:spacing w:before="0" w:after="0" w:line="240" w:lineRule="auto"/>
              <w:jc w:val="left"/>
            </w:pPr>
            <w:r>
              <w:rPr>
                <w:rFonts w:ascii="Arial" w:hAnsi="Arial" w:eastAsia="Arial" w:cs="Arial"/>
                <w:b/>
                <w:i w:val="0"/>
                <w:color w:val="111827"/>
                <w:sz w:val="18"/>
              </w:rPr>
              <w:t>Completion</w:t>
            </w:r>
          </w:p>
        </w:tc>
        <w:tc>
          <w:tcPr>
            <w:tcW w:type="dxa" w:w="7661"/>
            <w:shd w:val="clear" w:color="auto" w:fill="FFFFFF"/>
            <w:vAlign w:val="center"/>
          </w:tcPr>
          <w:p>
            <w:pPr>
              <w:widowControl/>
              <w:spacing w:before="0" w:after="0" w:line="240" w:lineRule="auto"/>
              <w:jc w:val="left"/>
            </w:pPr>
            <w:r>
              <w:rPr>
                <w:rFonts w:ascii="Arial" w:hAnsi="Arial" w:eastAsia="Arial" w:cs="Arial"/>
                <w:b w:val="0"/>
                <w:i w:val="0"/>
                <w:color w:val="111827"/>
                <w:sz w:val="18"/>
              </w:rPr>
              <w:t>12,000/12,000 scenarios completed by every method; none dropped or rerun (single official run).</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Frozen dataset</w:t>
            </w:r>
          </w:p>
        </w:tc>
        <w:tc>
          <w:tcPr>
            <w:tcW w:type="dxa" w:w="7661"/>
            <w:shd w:val="clear" w:color="auto" w:fill="F8FAFC"/>
            <w:vAlign w:val="center"/>
          </w:tcPr>
          <w:p>
            <w:pPr>
              <w:widowControl/>
              <w:spacing w:before="0" w:after="0" w:line="240" w:lineRule="auto"/>
              <w:jc w:val="left"/>
            </w:pPr>
            <w:r>
              <w:rPr>
                <w:rFonts w:ascii="Arial" w:hAnsi="Arial" w:eastAsia="Arial" w:cs="Arial"/>
                <w:b w:val="0"/>
                <w:i w:val="0"/>
                <w:color w:val="111827"/>
                <w:sz w:val="18"/>
              </w:rPr>
              <w:t>Frozen 2026-10-07 20:28:30 UTC, before execution started (20:28:39 UTC); read-only and unchanged afterwards. SHA-256 39912ec07be7cc7e3bde609a65d9019322a014dfde7a15bf769f18f087db7bab.</w:t>
            </w:r>
          </w:p>
        </w:tc>
      </w:tr>
      <w:tr>
        <w:trPr>
          <w:cantSplit/>
        </w:trPr>
        <w:tc>
          <w:tcPr>
            <w:tcW w:type="dxa" w:w="2232"/>
            <w:shd w:val="clear" w:color="auto" w:fill="FFFFFF"/>
            <w:vAlign w:val="center"/>
          </w:tcPr>
          <w:p>
            <w:pPr>
              <w:widowControl/>
              <w:spacing w:before="0" w:after="0" w:line="240" w:lineRule="auto"/>
              <w:jc w:val="left"/>
            </w:pPr>
            <w:r>
              <w:rPr>
                <w:rFonts w:ascii="Arial" w:hAnsi="Arial" w:eastAsia="Arial" w:cs="Arial"/>
                <w:b/>
                <w:i w:val="0"/>
                <w:color w:val="111827"/>
                <w:sz w:val="18"/>
              </w:rPr>
              <w:t>Generator equivalence</w:t>
            </w:r>
          </w:p>
        </w:tc>
        <w:tc>
          <w:tcPr>
            <w:tcW w:type="dxa" w:w="7661"/>
            <w:shd w:val="clear" w:color="auto" w:fill="FFFFFF"/>
            <w:vAlign w:val="center"/>
          </w:tcPr>
          <w:p>
            <w:pPr>
              <w:widowControl/>
              <w:spacing w:before="0" w:after="0" w:line="240" w:lineRule="auto"/>
              <w:jc w:val="left"/>
            </w:pPr>
            <w:r>
              <w:rPr>
                <w:rFonts w:ascii="Arial" w:hAnsi="Arial" w:eastAsia="Arial" w:cs="Arial"/>
                <w:b w:val="0"/>
                <w:i w:val="0"/>
                <w:color w:val="111827"/>
                <w:sz w:val="18"/>
              </w:rPr>
              <w:t>Copied generator reproduced the development dataset byte for byte (development settings).</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No contamination</w:t>
            </w:r>
          </w:p>
        </w:tc>
        <w:tc>
          <w:tcPr>
            <w:tcW w:type="dxa" w:w="7661"/>
            <w:shd w:val="clear" w:color="auto" w:fill="F8FAFC"/>
            <w:vAlign w:val="center"/>
          </w:tcPr>
          <w:p>
            <w:pPr>
              <w:widowControl/>
              <w:spacing w:before="0" w:after="0" w:line="240" w:lineRule="auto"/>
              <w:jc w:val="left"/>
            </w:pPr>
            <w:r>
              <w:rPr>
                <w:rFonts w:ascii="Arial" w:hAnsi="Arial" w:eastAsia="Arial" w:cs="Arial"/>
                <w:b w:val="0"/>
                <w:i w:val="0"/>
                <w:color w:val="111827"/>
                <w:sz w:val="18"/>
              </w:rPr>
              <w:t>0 scenarios shared with the development data and 0 with the pilot data.</w:t>
            </w:r>
          </w:p>
        </w:tc>
      </w:tr>
      <w:tr>
        <w:trPr>
          <w:cantSplit/>
        </w:trPr>
        <w:tc>
          <w:tcPr>
            <w:tcW w:type="dxa" w:w="2232"/>
            <w:shd w:val="clear" w:color="auto" w:fill="FFFFFF"/>
            <w:vAlign w:val="center"/>
          </w:tcPr>
          <w:p>
            <w:pPr>
              <w:widowControl/>
              <w:spacing w:before="0" w:after="0" w:line="240" w:lineRule="auto"/>
              <w:jc w:val="left"/>
            </w:pPr>
            <w:r>
              <w:rPr>
                <w:rFonts w:ascii="Arial" w:hAnsi="Arial" w:eastAsia="Arial" w:cs="Arial"/>
                <w:b/>
                <w:i w:val="0"/>
                <w:color w:val="111827"/>
                <w:sz w:val="18"/>
              </w:rPr>
              <w:t>GT-critical coverage</w:t>
            </w:r>
          </w:p>
        </w:tc>
        <w:tc>
          <w:tcPr>
            <w:tcW w:type="dxa" w:w="7661"/>
            <w:shd w:val="clear" w:color="auto" w:fill="FFFFFF"/>
            <w:vAlign w:val="center"/>
          </w:tcPr>
          <w:p>
            <w:pPr>
              <w:widowControl/>
              <w:spacing w:before="0" w:after="0" w:line="240" w:lineRule="auto"/>
              <w:jc w:val="left"/>
            </w:pPr>
            <w:r>
              <w:rPr>
                <w:rFonts w:ascii="Arial" w:hAnsi="Arial" w:eastAsia="Arial" w:cs="Arial"/>
                <w:b w:val="0"/>
                <w:i w:val="0"/>
                <w:color w:val="111827"/>
                <w:sz w:val="18"/>
              </w:rPr>
              <w:t>Every scenario has at least one GT-critical emergency (S/U rejection sampling; 3,437 scenarios redrawn; other streams unaffected).</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Identical inputs</w:t>
            </w:r>
          </w:p>
        </w:tc>
        <w:tc>
          <w:tcPr>
            <w:tcW w:type="dxa" w:w="7661"/>
            <w:shd w:val="clear" w:color="auto" w:fill="F8FAFC"/>
            <w:vAlign w:val="center"/>
          </w:tcPr>
          <w:p>
            <w:pPr>
              <w:widowControl/>
              <w:spacing w:before="0" w:after="0" w:line="240" w:lineRule="auto"/>
              <w:jc w:val="left"/>
            </w:pPr>
            <w:r>
              <w:rPr>
                <w:rFonts w:ascii="Arial" w:hAnsi="Arial" w:eastAsia="Arial" w:cs="Arial"/>
                <w:b w:val="0"/>
                <w:i w:val="0"/>
                <w:color w:val="111827"/>
                <w:sz w:val="18"/>
              </w:rPr>
              <w:t>FCFS, AASHRAY and MILP received identical scenario inputs (0 mismatches).</w:t>
            </w:r>
          </w:p>
        </w:tc>
      </w:tr>
      <w:tr>
        <w:trPr>
          <w:cantSplit/>
        </w:trPr>
        <w:tc>
          <w:tcPr>
            <w:tcW w:type="dxa" w:w="2232"/>
            <w:shd w:val="clear" w:color="auto" w:fill="FFFFFF"/>
            <w:vAlign w:val="center"/>
          </w:tcPr>
          <w:p>
            <w:pPr>
              <w:widowControl/>
              <w:spacing w:before="0" w:after="0" w:line="240" w:lineRule="auto"/>
              <w:jc w:val="left"/>
            </w:pPr>
            <w:r>
              <w:rPr>
                <w:rFonts w:ascii="Arial" w:hAnsi="Arial" w:eastAsia="Arial" w:cs="Arial"/>
                <w:b/>
                <w:i w:val="0"/>
                <w:color w:val="111827"/>
                <w:sz w:val="18"/>
              </w:rPr>
              <w:t>Frozen configuration</w:t>
            </w:r>
          </w:p>
        </w:tc>
        <w:tc>
          <w:tcPr>
            <w:tcW w:type="dxa" w:w="7661"/>
            <w:shd w:val="clear" w:color="auto" w:fill="FFFFFF"/>
            <w:vAlign w:val="center"/>
          </w:tcPr>
          <w:p>
            <w:pPr>
              <w:widowControl/>
              <w:spacing w:before="0" w:after="0" w:line="240" w:lineRule="auto"/>
              <w:jc w:val="left"/>
            </w:pPr>
            <w:r>
              <w:rPr>
                <w:rFonts w:ascii="Arial" w:hAnsi="Arial" w:eastAsia="Arial" w:cs="Arial"/>
                <w:b w:val="0"/>
                <w:i w:val="0"/>
                <w:color w:val="111827"/>
                <w:sz w:val="18"/>
              </w:rPr>
              <w:t>One AASHRAY configuration (C045); scripts and configuration frozen before the run; no parameter tuning on the final test set.</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Checks</w:t>
            </w:r>
          </w:p>
        </w:tc>
        <w:tc>
          <w:tcPr>
            <w:tcW w:type="dxa" w:w="7661"/>
            <w:shd w:val="clear" w:color="auto" w:fill="F8FAFC"/>
            <w:vAlign w:val="center"/>
          </w:tcPr>
          <w:p>
            <w:pPr>
              <w:widowControl/>
              <w:spacing w:before="0" w:after="0" w:line="240" w:lineRule="auto"/>
              <w:jc w:val="left"/>
            </w:pPr>
            <w:r>
              <w:rPr>
                <w:rFonts w:ascii="Arial" w:hAnsi="Arial" w:eastAsia="Arial" w:cs="Arial"/>
                <w:b w:val="0"/>
                <w:i w:val="0"/>
                <w:color w:val="111827"/>
                <w:sz w:val="18"/>
              </w:rPr>
              <w:t>35/35 gate checks passed; 37/37 final validation checks passed (0 failures).</w:t>
            </w:r>
          </w:p>
        </w:tc>
      </w:tr>
      <w:tr>
        <w:trPr>
          <w:cantSplit/>
        </w:trPr>
        <w:tc>
          <w:tcPr>
            <w:tcW w:type="dxa" w:w="2232"/>
            <w:shd w:val="clear" w:color="auto" w:fill="FFFFFF"/>
            <w:vAlign w:val="center"/>
          </w:tcPr>
          <w:p>
            <w:pPr>
              <w:widowControl/>
              <w:spacing w:before="0" w:after="0" w:line="240" w:lineRule="auto"/>
              <w:jc w:val="left"/>
            </w:pPr>
            <w:r>
              <w:rPr>
                <w:rFonts w:ascii="Arial" w:hAnsi="Arial" w:eastAsia="Arial" w:cs="Arial"/>
                <w:b/>
                <w:i w:val="0"/>
                <w:color w:val="111827"/>
                <w:sz w:val="18"/>
              </w:rPr>
              <w:t>MILP</w:t>
            </w:r>
          </w:p>
        </w:tc>
        <w:tc>
          <w:tcPr>
            <w:tcW w:type="dxa" w:w="7661"/>
            <w:shd w:val="clear" w:color="auto" w:fill="FFFFFF"/>
            <w:vAlign w:val="center"/>
          </w:tcPr>
          <w:p>
            <w:pPr>
              <w:widowControl/>
              <w:spacing w:before="0" w:after="0" w:line="240" w:lineRule="auto"/>
              <w:jc w:val="left"/>
            </w:pPr>
            <w:r>
              <w:rPr>
                <w:rFonts w:ascii="Arial" w:hAnsi="Arial" w:eastAsia="Arial" w:cs="Arial"/>
                <w:b w:val="0"/>
                <w:i w:val="0"/>
                <w:color w:val="111827"/>
                <w:sz w:val="18"/>
              </w:rPr>
              <w:t>12,000/12,000 proven optimal; 12,000/12,000 matched the analytical optimum; 0 failures.</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Unchanged files</w:t>
            </w:r>
          </w:p>
        </w:tc>
        <w:tc>
          <w:tcPr>
            <w:tcW w:type="dxa" w:w="7661"/>
            <w:shd w:val="clear" w:color="auto" w:fill="F8FAFC"/>
            <w:vAlign w:val="center"/>
          </w:tcPr>
          <w:p>
            <w:pPr>
              <w:widowControl/>
              <w:spacing w:before="0" w:after="0" w:line="240" w:lineRule="auto"/>
              <w:jc w:val="left"/>
            </w:pPr>
            <w:r>
              <w:rPr>
                <w:rFonts w:ascii="Arial" w:hAnsi="Arial" w:eastAsia="Arial" w:cs="Arial"/>
                <w:b w:val="0"/>
                <w:i w:val="0"/>
                <w:color w:val="111827"/>
                <w:sz w:val="18"/>
              </w:rPr>
              <w:t>No application (94), development (23), pilot (14) or MILP (15) files modified; application tests pass (93 passed).</w:t>
            </w:r>
          </w:p>
        </w:tc>
      </w:tr>
    </w:tbl>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2. Results at a Glance</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1613"/>
        <w:gridCol w:w="1123"/>
        <w:gridCol w:w="1411"/>
        <w:gridCol w:w="1037"/>
        <w:gridCol w:w="2880"/>
        <w:gridCol w:w="1829"/>
      </w:tblGrid>
      <w:tr>
        <w:trPr>
          <w:cantSplit/>
          <w:tblHeader/>
        </w:trPr>
        <w:tc>
          <w:tcPr>
            <w:tcW w:type="dxa" w:w="1613"/>
            <w:shd w:val="clear" w:color="auto" w:fill="0F172A"/>
            <w:vAlign w:val="center"/>
          </w:tcPr>
          <w:p>
            <w:pPr>
              <w:keepNext/>
              <w:widowControl/>
              <w:spacing w:before="0" w:after="0" w:line="240" w:lineRule="auto"/>
              <w:jc w:val="left"/>
            </w:pPr>
            <w:r>
              <w:rPr>
                <w:rFonts w:ascii="Arial" w:hAnsi="Arial" w:eastAsia="Arial" w:cs="Arial"/>
                <w:b/>
                <w:i w:val="0"/>
                <w:color w:val="FFFFFF"/>
                <w:sz w:val="17"/>
              </w:rPr>
              <w:t>Metric</w:t>
            </w:r>
          </w:p>
        </w:tc>
        <w:tc>
          <w:tcPr>
            <w:tcW w:type="dxa" w:w="1123"/>
            <w:shd w:val="clear" w:color="auto" w:fill="0F172A"/>
            <w:vAlign w:val="center"/>
          </w:tcPr>
          <w:p>
            <w:pPr>
              <w:keepNext/>
              <w:widowControl/>
              <w:spacing w:before="0" w:after="0" w:line="240" w:lineRule="auto"/>
              <w:jc w:val="center"/>
            </w:pPr>
            <w:r>
              <w:rPr>
                <w:rFonts w:ascii="Arial" w:hAnsi="Arial" w:eastAsia="Arial" w:cs="Arial"/>
                <w:b/>
                <w:i w:val="0"/>
                <w:color w:val="FFFFFF"/>
                <w:sz w:val="17"/>
              </w:rPr>
              <w:t>FCFS</w:t>
            </w:r>
          </w:p>
        </w:tc>
        <w:tc>
          <w:tcPr>
            <w:tcW w:type="dxa" w:w="1411"/>
            <w:shd w:val="clear" w:color="auto" w:fill="0F172A"/>
            <w:vAlign w:val="center"/>
          </w:tcPr>
          <w:p>
            <w:pPr>
              <w:keepNext/>
              <w:widowControl/>
              <w:spacing w:before="0" w:after="0" w:line="240" w:lineRule="auto"/>
              <w:jc w:val="center"/>
            </w:pPr>
            <w:r>
              <w:rPr>
                <w:rFonts w:ascii="Arial" w:hAnsi="Arial" w:eastAsia="Arial" w:cs="Arial"/>
                <w:b/>
                <w:i w:val="0"/>
                <w:color w:val="FFFFFF"/>
                <w:sz w:val="17"/>
              </w:rPr>
              <w:t>AASHRAY</w:t>
            </w:r>
          </w:p>
        </w:tc>
        <w:tc>
          <w:tcPr>
            <w:tcW w:type="dxa" w:w="1037"/>
            <w:shd w:val="clear" w:color="auto" w:fill="0F172A"/>
            <w:vAlign w:val="center"/>
          </w:tcPr>
          <w:p>
            <w:pPr>
              <w:keepNext/>
              <w:widowControl/>
              <w:spacing w:before="0" w:after="0" w:line="240" w:lineRule="auto"/>
              <w:jc w:val="center"/>
            </w:pPr>
            <w:r>
              <w:rPr>
                <w:rFonts w:ascii="Arial" w:hAnsi="Arial" w:eastAsia="Arial" w:cs="Arial"/>
                <w:b/>
                <w:i w:val="0"/>
                <w:color w:val="FFFFFF"/>
                <w:sz w:val="17"/>
              </w:rPr>
              <w:t>MILP</w:t>
            </w:r>
          </w:p>
        </w:tc>
        <w:tc>
          <w:tcPr>
            <w:tcW w:type="dxa" w:w="2880"/>
            <w:shd w:val="clear" w:color="auto" w:fill="0F172A"/>
            <w:vAlign w:val="center"/>
          </w:tcPr>
          <w:p>
            <w:pPr>
              <w:keepNext/>
              <w:widowControl/>
              <w:spacing w:before="0" w:after="0" w:line="240" w:lineRule="auto"/>
              <w:jc w:val="left"/>
            </w:pPr>
            <w:r>
              <w:rPr>
                <w:rFonts w:ascii="Arial" w:hAnsi="Arial" w:eastAsia="Arial" w:cs="Arial"/>
                <w:b/>
                <w:i w:val="0"/>
                <w:color w:val="FFFFFF"/>
                <w:sz w:val="17"/>
              </w:rPr>
              <w:t>Statistical / interpretation</w:t>
            </w:r>
          </w:p>
        </w:tc>
        <w:tc>
          <w:tcPr>
            <w:tcW w:type="dxa" w:w="1829"/>
            <w:shd w:val="clear" w:color="auto" w:fill="0F172A"/>
            <w:vAlign w:val="center"/>
          </w:tcPr>
          <w:p>
            <w:pPr>
              <w:keepNext/>
              <w:widowControl/>
              <w:spacing w:before="0" w:after="0" w:line="240" w:lineRule="auto"/>
              <w:jc w:val="left"/>
            </w:pPr>
            <w:r>
              <w:rPr>
                <w:rFonts w:ascii="Arial" w:hAnsi="Arial" w:eastAsia="Arial" w:cs="Arial"/>
                <w:b/>
                <w:i w:val="0"/>
                <w:color w:val="FFFFFF"/>
                <w:sz w:val="17"/>
              </w:rPr>
              <w:t>Conclusion</w:t>
            </w:r>
          </w:p>
        </w:tc>
      </w:tr>
      <w:tr>
        <w:trPr>
          <w:cantSplit/>
        </w:trPr>
        <w:tc>
          <w:tcPr>
            <w:tcW w:type="dxa" w:w="1613"/>
            <w:shd w:val="clear" w:color="auto" w:fill="FFFFFF"/>
            <w:vAlign w:val="center"/>
          </w:tcPr>
          <w:p>
            <w:pPr>
              <w:keepNext/>
              <w:widowControl/>
              <w:spacing w:before="0" w:after="0" w:line="240" w:lineRule="auto"/>
              <w:jc w:val="left"/>
            </w:pPr>
            <w:r>
              <w:rPr>
                <w:rFonts w:ascii="Arial" w:hAnsi="Arial" w:eastAsia="Arial" w:cs="Arial"/>
                <w:b/>
                <w:i w:val="0"/>
                <w:color w:val="111827"/>
                <w:sz w:val="17"/>
              </w:rPr>
              <w:t>Mean CDC (primary)</w:t>
            </w:r>
          </w:p>
        </w:tc>
        <w:tc>
          <w:tcPr>
            <w:tcW w:type="dxa" w:w="1123"/>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0.7363</w:t>
            </w:r>
          </w:p>
        </w:tc>
        <w:tc>
          <w:tcPr>
            <w:tcW w:type="dxa" w:w="1411"/>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0.9477</w:t>
            </w:r>
          </w:p>
        </w:tc>
        <w:tc>
          <w:tcPr>
            <w:tcW w:type="dxa" w:w="1037"/>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0.9817</w:t>
            </w:r>
          </w:p>
        </w:tc>
        <w:tc>
          <w:tcPr>
            <w:tcW w:type="dxa" w:w="2880"/>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Δ = +0.2114 (+21.14 pp; +28.7% relative); 95% CI [0.2053, 0.2177]; permutation p = 9.9999 × 10</w:t>
            </w:r>
            <w:r>
              <w:rPr>
                <w:rFonts w:ascii="Arial" w:hAnsi="Arial" w:eastAsia="Arial" w:cs="Arial"/>
                <w:b w:val="0"/>
                <w:i w:val="0"/>
                <w:color w:val="111827"/>
                <w:sz w:val="17"/>
                <w:vertAlign w:val="superscript"/>
              </w:rPr>
              <w:t>−6</w:t>
            </w:r>
          </w:p>
        </w:tc>
        <w:tc>
          <w:tcPr>
            <w:tcW w:type="dxa" w:w="1829"/>
            <w:shd w:val="clear" w:color="auto" w:fill="DCFCE7"/>
            <w:vAlign w:val="center"/>
          </w:tcPr>
          <w:p>
            <w:pPr>
              <w:keepNext/>
              <w:widowControl/>
              <w:spacing w:before="0" w:after="0" w:line="240" w:lineRule="auto"/>
              <w:jc w:val="left"/>
            </w:pPr>
            <w:r>
              <w:rPr>
                <w:rFonts w:ascii="Arial" w:hAnsi="Arial" w:eastAsia="Arial" w:cs="Arial"/>
                <w:b/>
                <w:i w:val="0"/>
                <w:color w:val="111827"/>
                <w:sz w:val="17"/>
              </w:rPr>
              <w:t>H0 rejected; primary H1 supported</w:t>
            </w:r>
          </w:p>
        </w:tc>
      </w:tr>
      <w:tr>
        <w:trPr>
          <w:cantSplit/>
        </w:trPr>
        <w:tc>
          <w:tcPr>
            <w:tcW w:type="dxa" w:w="1613"/>
            <w:shd w:val="clear" w:color="auto" w:fill="F8FAFC"/>
            <w:vAlign w:val="center"/>
          </w:tcPr>
          <w:p>
            <w:pPr>
              <w:keepNext/>
              <w:widowControl/>
              <w:spacing w:before="0" w:after="0" w:line="240" w:lineRule="auto"/>
              <w:jc w:val="left"/>
            </w:pPr>
            <w:r>
              <w:rPr>
                <w:rFonts w:ascii="Arial" w:hAnsi="Arial" w:eastAsia="Arial" w:cs="Arial"/>
                <w:b/>
                <w:i w:val="0"/>
                <w:color w:val="111827"/>
                <w:sz w:val="17"/>
              </w:rPr>
              <w:t>Effect size</w:t>
            </w:r>
          </w:p>
        </w:tc>
        <w:tc>
          <w:tcPr>
            <w:tcW w:type="dxa" w:w="1123"/>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w:t>
            </w:r>
          </w:p>
        </w:tc>
        <w:tc>
          <w:tcPr>
            <w:tcW w:type="dxa" w:w="1411"/>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w:t>
            </w:r>
          </w:p>
        </w:tc>
        <w:tc>
          <w:tcPr>
            <w:tcW w:type="dxa" w:w="1037"/>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w:t>
            </w:r>
          </w:p>
        </w:tc>
        <w:tc>
          <w:tcPr>
            <w:tcW w:type="dxa" w:w="2880"/>
            <w:shd w:val="clear" w:color="auto" w:fill="F8FAFC"/>
            <w:vAlign w:val="center"/>
          </w:tcPr>
          <w:p>
            <w:pPr>
              <w:keepNext/>
              <w:widowControl/>
              <w:spacing w:before="0" w:after="0" w:line="240" w:lineRule="auto"/>
              <w:jc w:val="left"/>
            </w:pPr>
            <w:r>
              <w:rPr>
                <w:rFonts w:ascii="Arial" w:hAnsi="Arial" w:eastAsia="Arial" w:cs="Arial"/>
                <w:b w:val="0"/>
                <w:i w:val="0"/>
                <w:color w:val="111827"/>
                <w:sz w:val="17"/>
              </w:rPr>
              <w:t>Cohen's d</w:t>
            </w:r>
            <w:r>
              <w:rPr>
                <w:rFonts w:ascii="Arial" w:hAnsi="Arial" w:eastAsia="Arial" w:cs="Arial"/>
                <w:b w:val="0"/>
                <w:i w:val="0"/>
                <w:color w:val="111827"/>
                <w:sz w:val="17"/>
                <w:vertAlign w:val="subscript"/>
              </w:rPr>
              <w:t>z</w:t>
            </w:r>
            <w:r>
              <w:rPr>
                <w:rFonts w:ascii="Arial" w:hAnsi="Arial" w:eastAsia="Arial" w:cs="Arial"/>
                <w:b w:val="0"/>
                <w:i w:val="0"/>
                <w:color w:val="111827"/>
                <w:sz w:val="17"/>
              </w:rPr>
              <w:t xml:space="preserve"> = 0.603; probability of superiority = 0.721 (ties weighted ½)</w:t>
            </w:r>
          </w:p>
        </w:tc>
        <w:tc>
          <w:tcPr>
            <w:tcW w:type="dxa" w:w="1829"/>
            <w:shd w:val="clear" w:color="auto" w:fill="DCFCE7"/>
            <w:vAlign w:val="center"/>
          </w:tcPr>
          <w:p>
            <w:pPr>
              <w:keepNext/>
              <w:widowControl/>
              <w:spacing w:before="0" w:after="0" w:line="240" w:lineRule="auto"/>
              <w:jc w:val="left"/>
            </w:pPr>
            <w:r>
              <w:rPr>
                <w:rFonts w:ascii="Arial" w:hAnsi="Arial" w:eastAsia="Arial" w:cs="Arial"/>
                <w:b/>
                <w:i w:val="0"/>
                <w:color w:val="111827"/>
                <w:sz w:val="17"/>
              </w:rPr>
              <w:t>Consistent with H1</w:t>
            </w:r>
          </w:p>
        </w:tc>
      </w:tr>
      <w:tr>
        <w:trPr>
          <w:cantSplit/>
        </w:trPr>
        <w:tc>
          <w:tcPr>
            <w:tcW w:type="dxa" w:w="1613"/>
            <w:shd w:val="clear" w:color="auto" w:fill="FFFFFF"/>
            <w:vAlign w:val="center"/>
          </w:tcPr>
          <w:p>
            <w:pPr>
              <w:keepNext/>
              <w:widowControl/>
              <w:spacing w:before="0" w:after="0" w:line="240" w:lineRule="auto"/>
              <w:jc w:val="left"/>
            </w:pPr>
            <w:r>
              <w:rPr>
                <w:rFonts w:ascii="Arial" w:hAnsi="Arial" w:eastAsia="Arial" w:cs="Arial"/>
                <w:b/>
                <w:i w:val="0"/>
                <w:color w:val="111827"/>
                <w:sz w:val="17"/>
              </w:rPr>
              <w:t>Median CDC; median Δ</w:t>
            </w:r>
          </w:p>
        </w:tc>
        <w:tc>
          <w:tcPr>
            <w:tcW w:type="dxa" w:w="1123"/>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0.9946</w:t>
            </w:r>
          </w:p>
        </w:tc>
        <w:tc>
          <w:tcPr>
            <w:tcW w:type="dxa" w:w="1411"/>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1.0000</w:t>
            </w:r>
          </w:p>
        </w:tc>
        <w:tc>
          <w:tcPr>
            <w:tcW w:type="dxa" w:w="1037"/>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1.0000</w:t>
            </w:r>
          </w:p>
        </w:tc>
        <w:tc>
          <w:tcPr>
            <w:tcW w:type="dxa" w:w="2880"/>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Median Δ = 0 because 49.97% of scenarios are exact ties</w:t>
            </w:r>
          </w:p>
        </w:tc>
        <w:tc>
          <w:tcPr>
            <w:tcW w:type="dxa" w:w="1829"/>
            <w:shd w:val="clear" w:color="auto" w:fill="FEF9C3"/>
            <w:vAlign w:val="center"/>
          </w:tcPr>
          <w:p>
            <w:pPr>
              <w:keepNext/>
              <w:widowControl/>
              <w:spacing w:before="0" w:after="0" w:line="240" w:lineRule="auto"/>
              <w:jc w:val="left"/>
            </w:pPr>
            <w:r>
              <w:rPr>
                <w:rFonts w:ascii="Arial" w:hAnsi="Arial" w:eastAsia="Arial" w:cs="Arial"/>
                <w:b/>
                <w:i w:val="0"/>
                <w:color w:val="111827"/>
                <w:sz w:val="17"/>
              </w:rPr>
              <w:t>Expected given ties (see text)</w:t>
            </w:r>
          </w:p>
        </w:tc>
      </w:tr>
      <w:tr>
        <w:trPr>
          <w:cantSplit/>
        </w:trPr>
        <w:tc>
          <w:tcPr>
            <w:tcW w:type="dxa" w:w="1613"/>
            <w:shd w:val="clear" w:color="auto" w:fill="F8FAFC"/>
            <w:vAlign w:val="center"/>
          </w:tcPr>
          <w:p>
            <w:pPr>
              <w:keepNext/>
              <w:widowControl/>
              <w:spacing w:before="0" w:after="0" w:line="240" w:lineRule="auto"/>
              <w:jc w:val="left"/>
            </w:pPr>
            <w:r>
              <w:rPr>
                <w:rFonts w:ascii="Arial" w:hAnsi="Arial" w:eastAsia="Arial" w:cs="Arial"/>
                <w:b/>
                <w:i w:val="0"/>
                <w:color w:val="111827"/>
                <w:sz w:val="17"/>
              </w:rPr>
              <w:t>Paired outcome</w:t>
            </w:r>
          </w:p>
        </w:tc>
        <w:tc>
          <w:tcPr>
            <w:tcW w:type="dxa" w:w="1123"/>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348 wins (2.90%)</w:t>
            </w:r>
          </w:p>
        </w:tc>
        <w:tc>
          <w:tcPr>
            <w:tcW w:type="dxa" w:w="1411"/>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5,656 wins (47.13%)</w:t>
            </w:r>
          </w:p>
        </w:tc>
        <w:tc>
          <w:tcPr>
            <w:tcW w:type="dxa" w:w="1037"/>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w:t>
            </w:r>
          </w:p>
        </w:tc>
        <w:tc>
          <w:tcPr>
            <w:tcW w:type="dxa" w:w="2880"/>
            <w:shd w:val="clear" w:color="auto" w:fill="F8FAFC"/>
            <w:vAlign w:val="center"/>
          </w:tcPr>
          <w:p>
            <w:pPr>
              <w:keepNext/>
              <w:widowControl/>
              <w:spacing w:before="0" w:after="0" w:line="240" w:lineRule="auto"/>
              <w:jc w:val="left"/>
            </w:pPr>
            <w:r>
              <w:rPr>
                <w:rFonts w:ascii="Arial" w:hAnsi="Arial" w:eastAsia="Arial" w:cs="Arial"/>
                <w:b w:val="0"/>
                <w:i w:val="0"/>
                <w:color w:val="111827"/>
                <w:sz w:val="17"/>
              </w:rPr>
              <w:t>5,996 ties (49.97%); AASHRAY ≥ FCFS in 97.10%</w:t>
            </w:r>
          </w:p>
        </w:tc>
        <w:tc>
          <w:tcPr>
            <w:tcW w:type="dxa" w:w="1829"/>
            <w:shd w:val="clear" w:color="auto" w:fill="FEF9C3"/>
            <w:vAlign w:val="center"/>
          </w:tcPr>
          <w:p>
            <w:pPr>
              <w:keepNext/>
              <w:widowControl/>
              <w:spacing w:before="0" w:after="0" w:line="240" w:lineRule="auto"/>
              <w:jc w:val="left"/>
            </w:pPr>
            <w:r>
              <w:rPr>
                <w:rFonts w:ascii="Arial" w:hAnsi="Arial" w:eastAsia="Arial" w:cs="Arial"/>
                <w:b/>
                <w:i w:val="0"/>
                <w:color w:val="111827"/>
                <w:sz w:val="17"/>
              </w:rPr>
              <w:t>Better or equal in most scenarios; not always better</w:t>
            </w:r>
          </w:p>
        </w:tc>
      </w:tr>
      <w:tr>
        <w:trPr>
          <w:cantSplit/>
        </w:trPr>
        <w:tc>
          <w:tcPr>
            <w:tcW w:type="dxa" w:w="1613"/>
            <w:shd w:val="clear" w:color="auto" w:fill="FFFFFF"/>
            <w:vAlign w:val="center"/>
          </w:tcPr>
          <w:p>
            <w:pPr>
              <w:keepNext/>
              <w:widowControl/>
              <w:spacing w:before="0" w:after="0" w:line="240" w:lineRule="auto"/>
              <w:jc w:val="left"/>
            </w:pPr>
            <w:r>
              <w:rPr>
                <w:rFonts w:ascii="Arial" w:hAnsi="Arial" w:eastAsia="Arial" w:cs="Arial"/>
                <w:b/>
                <w:i w:val="0"/>
                <w:color w:val="111827"/>
                <w:sz w:val="17"/>
              </w:rPr>
              <w:t>HIGH-scarcity CDC</w:t>
            </w:r>
          </w:p>
        </w:tc>
        <w:tc>
          <w:tcPr>
            <w:tcW w:type="dxa" w:w="1123"/>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0.4958</w:t>
            </w:r>
          </w:p>
        </w:tc>
        <w:tc>
          <w:tcPr>
            <w:tcW w:type="dxa" w:w="1411"/>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0.8968</w:t>
            </w:r>
          </w:p>
        </w:tc>
        <w:tc>
          <w:tcPr>
            <w:tcW w:type="dxa" w:w="1037"/>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0.9637</w:t>
            </w:r>
          </w:p>
        </w:tc>
        <w:tc>
          <w:tcPr>
            <w:tcW w:type="dxa" w:w="2880"/>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+0.4009 absolute over FCFS (n = 6,000; descriptive 95% CI [0.3906, 0.4112])</w:t>
            </w:r>
          </w:p>
        </w:tc>
        <w:tc>
          <w:tcPr>
            <w:tcW w:type="dxa" w:w="1829"/>
            <w:shd w:val="clear" w:color="auto" w:fill="DCFCE7"/>
            <w:vAlign w:val="center"/>
          </w:tcPr>
          <w:p>
            <w:pPr>
              <w:keepNext/>
              <w:widowControl/>
              <w:spacing w:before="0" w:after="0" w:line="240" w:lineRule="auto"/>
              <w:jc w:val="left"/>
            </w:pPr>
            <w:r>
              <w:rPr>
                <w:rFonts w:ascii="Arial" w:hAnsi="Arial" w:eastAsia="Arial" w:cs="Arial"/>
                <w:b/>
                <w:i w:val="0"/>
                <w:color w:val="111827"/>
                <w:sz w:val="17"/>
              </w:rPr>
              <w:t>Largest benefit under scarcity</w:t>
            </w:r>
          </w:p>
        </w:tc>
      </w:tr>
      <w:tr>
        <w:trPr>
          <w:cantSplit/>
        </w:trPr>
        <w:tc>
          <w:tcPr>
            <w:tcW w:type="dxa" w:w="1613"/>
            <w:shd w:val="clear" w:color="auto" w:fill="F8FAFC"/>
            <w:vAlign w:val="center"/>
          </w:tcPr>
          <w:p>
            <w:pPr>
              <w:keepNext/>
              <w:widowControl/>
              <w:spacing w:before="0" w:after="0" w:line="240" w:lineRule="auto"/>
              <w:jc w:val="left"/>
            </w:pPr>
            <w:r>
              <w:rPr>
                <w:rFonts w:ascii="Arial" w:hAnsi="Arial" w:eastAsia="Arial" w:cs="Arial"/>
                <w:b/>
                <w:i w:val="0"/>
                <w:color w:val="111827"/>
                <w:sz w:val="17"/>
              </w:rPr>
              <w:t>Optimality vs MILP (H2)</w:t>
            </w:r>
          </w:p>
        </w:tc>
        <w:tc>
          <w:tcPr>
            <w:tcW w:type="dxa" w:w="1123"/>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w:t>
            </w:r>
          </w:p>
        </w:tc>
        <w:tc>
          <w:tcPr>
            <w:tcW w:type="dxa" w:w="1411"/>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exact 86.66%; within 10% 91.50%</w:t>
            </w:r>
          </w:p>
        </w:tc>
        <w:tc>
          <w:tcPr>
            <w:tcW w:type="dxa" w:w="1037"/>
            <w:shd w:val="clear" w:color="auto" w:fill="F8FAFC"/>
            <w:vAlign w:val="center"/>
          </w:tcPr>
          <w:p>
            <w:pPr>
              <w:keepNext/>
              <w:widowControl/>
              <w:spacing w:before="0" w:after="0" w:line="240" w:lineRule="auto"/>
              <w:jc w:val="center"/>
            </w:pPr>
            <w:r>
              <w:rPr>
                <w:rFonts w:ascii="Arial" w:hAnsi="Arial" w:eastAsia="Arial" w:cs="Arial"/>
                <w:b w:val="0"/>
                <w:i w:val="0"/>
                <w:color w:val="111827"/>
                <w:sz w:val="17"/>
              </w:rPr>
              <w:t>benchmark</w:t>
            </w:r>
          </w:p>
        </w:tc>
        <w:tc>
          <w:tcPr>
            <w:tcW w:type="dxa" w:w="2880"/>
            <w:shd w:val="clear" w:color="auto" w:fill="F8FAFC"/>
            <w:vAlign w:val="center"/>
          </w:tcPr>
          <w:p>
            <w:pPr>
              <w:keepNext/>
              <w:widowControl/>
              <w:spacing w:before="0" w:after="0" w:line="240" w:lineRule="auto"/>
              <w:jc w:val="left"/>
            </w:pPr>
            <w:r>
              <w:rPr>
                <w:rFonts w:ascii="Arial" w:hAnsi="Arial" w:eastAsia="Arial" w:cs="Arial"/>
                <w:b w:val="0"/>
                <w:i w:val="0"/>
                <w:color w:val="111827"/>
                <w:sz w:val="17"/>
              </w:rPr>
              <w:t>Mean relative gap 0.0350; median 0; P95 0.2441; no significance test</w:t>
            </w:r>
          </w:p>
        </w:tc>
        <w:tc>
          <w:tcPr>
            <w:tcW w:type="dxa" w:w="1829"/>
            <w:shd w:val="clear" w:color="auto" w:fill="FEF9C3"/>
            <w:vAlign w:val="center"/>
          </w:tcPr>
          <w:p>
            <w:pPr>
              <w:keepNext/>
              <w:widowControl/>
              <w:spacing w:before="0" w:after="0" w:line="240" w:lineRule="auto"/>
              <w:jc w:val="left"/>
            </w:pPr>
            <w:r>
              <w:rPr>
                <w:rFonts w:ascii="Arial" w:hAnsi="Arial" w:eastAsia="Arial" w:cs="Arial"/>
                <w:b/>
                <w:i w:val="0"/>
                <w:color w:val="111827"/>
                <w:sz w:val="17"/>
              </w:rPr>
              <w:t>Near-optimal in most scenarios; not optimal</w:t>
            </w:r>
          </w:p>
        </w:tc>
      </w:tr>
      <w:tr>
        <w:trPr>
          <w:cantSplit/>
        </w:trPr>
        <w:tc>
          <w:tcPr>
            <w:tcW w:type="dxa" w:w="1613"/>
            <w:shd w:val="clear" w:color="auto" w:fill="FFFFFF"/>
            <w:vAlign w:val="center"/>
          </w:tcPr>
          <w:p>
            <w:pPr>
              <w:keepNext/>
              <w:widowControl/>
              <w:spacing w:before="0" w:after="0" w:line="240" w:lineRule="auto"/>
              <w:jc w:val="left"/>
            </w:pPr>
            <w:r>
              <w:rPr>
                <w:rFonts w:ascii="Arial" w:hAnsi="Arial" w:eastAsia="Arial" w:cs="Arial"/>
                <w:b/>
                <w:i w:val="0"/>
                <w:color w:val="111827"/>
                <w:sz w:val="17"/>
              </w:rPr>
              <w:t>Runtime per scenario (H3)</w:t>
            </w:r>
          </w:p>
        </w:tc>
        <w:tc>
          <w:tcPr>
            <w:tcW w:type="dxa" w:w="1123"/>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w:t>
            </w:r>
          </w:p>
        </w:tc>
        <w:tc>
          <w:tcPr>
            <w:tcW w:type="dxa" w:w="1411"/>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0.440 ms (conservative mean)</w:t>
            </w:r>
          </w:p>
        </w:tc>
        <w:tc>
          <w:tcPr>
            <w:tcW w:type="dxa" w:w="1037"/>
            <w:shd w:val="clear" w:color="auto" w:fill="FFFFFF"/>
            <w:vAlign w:val="center"/>
          </w:tcPr>
          <w:p>
            <w:pPr>
              <w:keepNext/>
              <w:widowControl/>
              <w:spacing w:before="0" w:after="0" w:line="240" w:lineRule="auto"/>
              <w:jc w:val="center"/>
            </w:pPr>
            <w:r>
              <w:rPr>
                <w:rFonts w:ascii="Arial" w:hAnsi="Arial" w:eastAsia="Arial" w:cs="Arial"/>
                <w:b w:val="0"/>
                <w:i w:val="0"/>
                <w:color w:val="111827"/>
                <w:sz w:val="17"/>
              </w:rPr>
              <w:t>2.472 ms</w:t>
            </w:r>
          </w:p>
        </w:tc>
        <w:tc>
          <w:tcPr>
            <w:tcW w:type="dxa" w:w="2880"/>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Conservative 5.6× by total, 4.8× by median; raw 9.99× is order-affected</w:t>
            </w:r>
          </w:p>
        </w:tc>
        <w:tc>
          <w:tcPr>
            <w:tcW w:type="dxa" w:w="1829"/>
            <w:shd w:val="clear" w:color="auto" w:fill="DCFCE7"/>
            <w:vAlign w:val="center"/>
          </w:tcPr>
          <w:p>
            <w:pPr>
              <w:keepNext/>
              <w:widowControl/>
              <w:spacing w:before="0" w:after="0" w:line="240" w:lineRule="auto"/>
              <w:jc w:val="left"/>
            </w:pPr>
            <w:r>
              <w:rPr>
                <w:rFonts w:ascii="Arial" w:hAnsi="Arial" w:eastAsia="Arial" w:cs="Arial"/>
                <w:b/>
                <w:i w:val="0"/>
                <w:color w:val="111827"/>
                <w:sz w:val="17"/>
              </w:rPr>
              <w:t>Supported (descriptive only)</w:t>
            </w:r>
          </w:p>
        </w:tc>
      </w:tr>
      <w:tr>
        <w:trPr>
          <w:cantSplit/>
        </w:trPr>
        <w:tc>
          <w:tcPr>
            <w:tcW w:type="dxa" w:w="1613"/>
            <w:shd w:val="clear" w:color="auto" w:fill="F8FAFC"/>
            <w:vAlign w:val="center"/>
          </w:tcPr>
          <w:p>
            <w:pPr>
              <w:widowControl/>
              <w:spacing w:before="0" w:after="0" w:line="240" w:lineRule="auto"/>
              <w:jc w:val="left"/>
            </w:pPr>
            <w:r>
              <w:rPr>
                <w:rFonts w:ascii="Arial" w:hAnsi="Arial" w:eastAsia="Arial" w:cs="Arial"/>
                <w:b/>
                <w:i w:val="0"/>
                <w:color w:val="111827"/>
                <w:sz w:val="17"/>
              </w:rPr>
              <w:t>TDC (descriptive)</w:t>
            </w:r>
          </w:p>
        </w:tc>
        <w:tc>
          <w:tcPr>
            <w:tcW w:type="dxa" w:w="1123"/>
            <w:shd w:val="clear" w:color="auto" w:fill="F8FAFC"/>
            <w:vAlign w:val="center"/>
          </w:tcPr>
          <w:p>
            <w:pPr>
              <w:widowControl/>
              <w:spacing w:before="0" w:after="0" w:line="240" w:lineRule="auto"/>
              <w:jc w:val="center"/>
            </w:pPr>
            <w:r>
              <w:rPr>
                <w:rFonts w:ascii="Arial" w:hAnsi="Arial" w:eastAsia="Arial" w:cs="Arial"/>
                <w:b w:val="0"/>
                <w:i w:val="0"/>
                <w:color w:val="111827"/>
                <w:sz w:val="17"/>
              </w:rPr>
              <w:t>0.7394</w:t>
            </w:r>
          </w:p>
        </w:tc>
        <w:tc>
          <w:tcPr>
            <w:tcW w:type="dxa" w:w="1411"/>
            <w:shd w:val="clear" w:color="auto" w:fill="F8FAFC"/>
            <w:vAlign w:val="center"/>
          </w:tcPr>
          <w:p>
            <w:pPr>
              <w:widowControl/>
              <w:spacing w:before="0" w:after="0" w:line="240" w:lineRule="auto"/>
              <w:jc w:val="center"/>
            </w:pPr>
            <w:r>
              <w:rPr>
                <w:rFonts w:ascii="Arial" w:hAnsi="Arial" w:eastAsia="Arial" w:cs="Arial"/>
                <w:b w:val="0"/>
                <w:i w:val="0"/>
                <w:color w:val="111827"/>
                <w:sz w:val="17"/>
              </w:rPr>
              <w:t>0.7394</w:t>
            </w:r>
          </w:p>
        </w:tc>
        <w:tc>
          <w:tcPr>
            <w:tcW w:type="dxa" w:w="1037"/>
            <w:shd w:val="clear" w:color="auto" w:fill="F8FAFC"/>
            <w:vAlign w:val="center"/>
          </w:tcPr>
          <w:p>
            <w:pPr>
              <w:widowControl/>
              <w:spacing w:before="0" w:after="0" w:line="240" w:lineRule="auto"/>
              <w:jc w:val="center"/>
            </w:pPr>
            <w:r>
              <w:rPr>
                <w:rFonts w:ascii="Arial" w:hAnsi="Arial" w:eastAsia="Arial" w:cs="Arial"/>
                <w:b w:val="0"/>
                <w:i w:val="0"/>
                <w:color w:val="111827"/>
                <w:sz w:val="17"/>
              </w:rPr>
              <w:t>—</w:t>
            </w:r>
          </w:p>
        </w:tc>
        <w:tc>
          <w:tcPr>
            <w:tcW w:type="dxa" w:w="2880"/>
            <w:shd w:val="clear" w:color="auto" w:fill="F8FAFC"/>
            <w:vAlign w:val="center"/>
          </w:tcPr>
          <w:p>
            <w:pPr>
              <w:widowControl/>
              <w:spacing w:before="0" w:after="0" w:line="240" w:lineRule="auto"/>
              <w:jc w:val="left"/>
            </w:pPr>
            <w:r>
              <w:rPr>
                <w:rFonts w:ascii="Arial" w:hAnsi="Arial" w:eastAsia="Arial" w:cs="Arial"/>
                <w:b w:val="0"/>
                <w:i w:val="0"/>
                <w:color w:val="111827"/>
                <w:sz w:val="17"/>
              </w:rPr>
              <w:t>Identical for FCFS and AASHRAY in every scenario (order-invariant)</w:t>
            </w:r>
          </w:p>
        </w:tc>
        <w:tc>
          <w:tcPr>
            <w:tcW w:type="dxa" w:w="1829"/>
            <w:shd w:val="clear" w:color="auto" w:fill="F8FAFC"/>
            <w:vAlign w:val="center"/>
          </w:tcPr>
          <w:p>
            <w:pPr>
              <w:widowControl/>
              <w:spacing w:before="0" w:after="0" w:line="240" w:lineRule="auto"/>
              <w:jc w:val="left"/>
            </w:pPr>
            <w:r>
              <w:rPr>
                <w:rFonts w:ascii="Arial" w:hAnsi="Arial" w:eastAsia="Arial" w:cs="Arial"/>
                <w:b/>
                <w:i w:val="0"/>
                <w:color w:val="111827"/>
                <w:sz w:val="17"/>
              </w:rPr>
              <w:t>Descriptive only</w:t>
            </w:r>
          </w:p>
        </w:tc>
      </w:tr>
    </w:tbl>
    <w:p>
      <w:pPr>
        <w:widowControl/>
        <w:spacing w:before="140" w:after="100" w:line="264" w:lineRule="auto"/>
      </w:pPr>
      <w:r>
        <w:rPr>
          <w:rFonts w:ascii="Arial" w:hAnsi="Arial" w:eastAsia="Arial" w:cs="Arial"/>
          <w:b/>
          <w:i w:val="0"/>
          <w:color w:val="111827"/>
          <w:sz w:val="20"/>
        </w:rPr>
        <w:t>Bottom line: Under the fixed reference criticality rule used in this experiment, AASHRAY substantially improves critical-demand coverage compared with FCFS. Mean CDC rose from 0.7363 to 0.9477 (+0.2114; permutation p = 9.9999 × 10</w:t>
      </w:r>
      <w:r>
        <w:rPr>
          <w:rFonts w:ascii="Arial" w:hAnsi="Arial" w:eastAsia="Arial" w:cs="Arial"/>
          <w:b/>
          <w:i w:val="0"/>
          <w:color w:val="111827"/>
          <w:sz w:val="20"/>
          <w:vertAlign w:val="superscript"/>
        </w:rPr>
        <w:t>−6</w:t>
      </w:r>
      <w:r>
        <w:rPr>
          <w:rFonts w:ascii="Arial" w:hAnsi="Arial" w:eastAsia="Arial" w:cs="Arial"/>
          <w:b/>
          <w:i w:val="0"/>
          <w:color w:val="111827"/>
          <w:sz w:val="20"/>
        </w:rPr>
        <w:t>), so H0 is rejected. The gain is largest under HIGH scarcity. AASHRAY reaches the MILP optimum in 86.66% of scenarios and needs far less computation, but it is not optimal in every scenario and not better than FCFS in every scenario.</w:t>
      </w:r>
    </w:p>
    <w:p>
      <w:pPr>
        <w:pStyle w:val="Heading2"/>
        <w:keepNext/>
        <w:widowControl/>
        <w:spacing w:before="160" w:after="80" w:line="240" w:lineRule="auto"/>
      </w:pPr>
      <w:r>
        <w:rPr>
          <w:rFonts w:ascii="Arial" w:hAnsi="Arial" w:eastAsia="Arial" w:cs="Arial"/>
          <w:b/>
          <w:i w:val="0"/>
          <w:color w:val="000000"/>
          <w:sz w:val="22"/>
        </w:rPr>
        <w:t>Win / tie / loss</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2232"/>
        <w:gridCol w:w="1152"/>
        <w:gridCol w:w="2232"/>
        <w:gridCol w:w="2045"/>
        <w:gridCol w:w="2232"/>
      </w:tblGrid>
      <w:tr>
        <w:trPr>
          <w:cantSplit/>
          <w:tblHeader/>
        </w:trPr>
        <w:tc>
          <w:tcPr>
            <w:tcW w:type="dxa" w:w="2232"/>
            <w:shd w:val="clear" w:color="auto" w:fill="0F172A"/>
            <w:vAlign w:val="center"/>
          </w:tcPr>
          <w:p>
            <w:pPr>
              <w:keepNext/>
              <w:widowControl/>
              <w:spacing w:before="0" w:after="0" w:line="240" w:lineRule="auto"/>
              <w:jc w:val="left"/>
            </w:pPr>
            <w:r>
              <w:rPr>
                <w:rFonts w:ascii="Arial" w:hAnsi="Arial" w:eastAsia="Arial" w:cs="Arial"/>
                <w:b/>
                <w:i w:val="0"/>
                <w:color w:val="FFFFFF"/>
                <w:sz w:val="18"/>
              </w:rPr>
              <w:t>Scope</w:t>
            </w:r>
          </w:p>
        </w:tc>
        <w:tc>
          <w:tcPr>
            <w:tcW w:type="dxa" w:w="1152"/>
            <w:shd w:val="clear" w:color="auto" w:fill="0F172A"/>
            <w:vAlign w:val="center"/>
          </w:tcPr>
          <w:p>
            <w:pPr>
              <w:keepNext/>
              <w:widowControl/>
              <w:spacing w:before="0" w:after="0" w:line="240" w:lineRule="auto"/>
              <w:jc w:val="center"/>
            </w:pPr>
            <w:r>
              <w:rPr>
                <w:rFonts w:ascii="Arial" w:hAnsi="Arial" w:eastAsia="Arial" w:cs="Arial"/>
                <w:b/>
                <w:i w:val="0"/>
                <w:color w:val="FFFFFF"/>
                <w:sz w:val="18"/>
              </w:rPr>
              <w:t>n</w:t>
            </w:r>
          </w:p>
        </w:tc>
        <w:tc>
          <w:tcPr>
            <w:tcW w:type="dxa" w:w="2232"/>
            <w:shd w:val="clear" w:color="auto" w:fill="0F172A"/>
            <w:vAlign w:val="center"/>
          </w:tcPr>
          <w:p>
            <w:pPr>
              <w:keepNext/>
              <w:widowControl/>
              <w:spacing w:before="0" w:after="0" w:line="240" w:lineRule="auto"/>
              <w:jc w:val="center"/>
            </w:pPr>
            <w:r>
              <w:rPr>
                <w:rFonts w:ascii="Arial" w:hAnsi="Arial" w:eastAsia="Arial" w:cs="Arial"/>
                <w:b/>
                <w:i w:val="0"/>
                <w:color w:val="FFFFFF"/>
                <w:sz w:val="18"/>
              </w:rPr>
              <w:t>AASHRAY wins (Δ &gt; 0)</w:t>
            </w:r>
          </w:p>
        </w:tc>
        <w:tc>
          <w:tcPr>
            <w:tcW w:type="dxa" w:w="2045"/>
            <w:shd w:val="clear" w:color="auto" w:fill="0F172A"/>
            <w:vAlign w:val="center"/>
          </w:tcPr>
          <w:p>
            <w:pPr>
              <w:keepNext/>
              <w:widowControl/>
              <w:spacing w:before="0" w:after="0" w:line="240" w:lineRule="auto"/>
              <w:jc w:val="center"/>
            </w:pPr>
            <w:r>
              <w:rPr>
                <w:rFonts w:ascii="Arial" w:hAnsi="Arial" w:eastAsia="Arial" w:cs="Arial"/>
                <w:b/>
                <w:i w:val="0"/>
                <w:color w:val="FFFFFF"/>
                <w:sz w:val="18"/>
              </w:rPr>
              <w:t>Ties (|Δ| ≤ 10</w:t>
            </w:r>
            <w:r>
              <w:rPr>
                <w:rFonts w:ascii="Arial" w:hAnsi="Arial" w:eastAsia="Arial" w:cs="Arial"/>
                <w:b/>
                <w:i w:val="0"/>
                <w:color w:val="FFFFFF"/>
                <w:sz w:val="18"/>
                <w:vertAlign w:val="superscript"/>
              </w:rPr>
              <w:t>−9</w:t>
            </w:r>
            <w:r>
              <w:rPr>
                <w:rFonts w:ascii="Arial" w:hAnsi="Arial" w:eastAsia="Arial" w:cs="Arial"/>
                <w:b/>
                <w:i w:val="0"/>
                <w:color w:val="FFFFFF"/>
                <w:sz w:val="18"/>
              </w:rPr>
              <w:t>)</w:t>
            </w:r>
          </w:p>
        </w:tc>
        <w:tc>
          <w:tcPr>
            <w:tcW w:type="dxa" w:w="2232"/>
            <w:shd w:val="clear" w:color="auto" w:fill="0F172A"/>
            <w:vAlign w:val="center"/>
          </w:tcPr>
          <w:p>
            <w:pPr>
              <w:keepNext/>
              <w:widowControl/>
              <w:spacing w:before="0" w:after="0" w:line="240" w:lineRule="auto"/>
              <w:jc w:val="center"/>
            </w:pPr>
            <w:r>
              <w:rPr>
                <w:rFonts w:ascii="Arial" w:hAnsi="Arial" w:eastAsia="Arial" w:cs="Arial"/>
                <w:b/>
                <w:i w:val="0"/>
                <w:color w:val="FFFFFF"/>
                <w:sz w:val="18"/>
              </w:rPr>
              <w:t>FCFS wins (Δ &lt; 0)</w:t>
            </w:r>
          </w:p>
        </w:tc>
      </w:tr>
      <w:tr>
        <w:trPr>
          <w:cantSplit/>
        </w:trPr>
        <w:tc>
          <w:tcPr>
            <w:tcW w:type="dxa" w:w="2232"/>
            <w:shd w:val="clear" w:color="auto" w:fill="FFFFFF"/>
            <w:vAlign w:val="center"/>
          </w:tcPr>
          <w:p>
            <w:pPr>
              <w:keepNext/>
              <w:widowControl/>
              <w:spacing w:before="0" w:after="0" w:line="240" w:lineRule="auto"/>
              <w:jc w:val="left"/>
            </w:pPr>
            <w:r>
              <w:rPr>
                <w:rFonts w:ascii="Arial" w:hAnsi="Arial" w:eastAsia="Arial" w:cs="Arial"/>
                <w:b/>
                <w:i w:val="0"/>
                <w:color w:val="111827"/>
                <w:sz w:val="18"/>
              </w:rPr>
              <w:t>All scenarios</w:t>
            </w:r>
          </w:p>
        </w:tc>
        <w:tc>
          <w:tcPr>
            <w:tcW w:type="dxa" w:w="1152"/>
            <w:shd w:val="clear" w:color="auto" w:fill="FFFFFF"/>
            <w:vAlign w:val="center"/>
          </w:tcPr>
          <w:p>
            <w:pPr>
              <w:keepNext/>
              <w:widowControl/>
              <w:spacing w:before="0" w:after="0" w:line="240" w:lineRule="auto"/>
              <w:jc w:val="center"/>
            </w:pPr>
            <w:r>
              <w:rPr>
                <w:rFonts w:ascii="Arial" w:hAnsi="Arial" w:eastAsia="Arial" w:cs="Arial"/>
                <w:b/>
                <w:i w:val="0"/>
                <w:color w:val="111827"/>
                <w:sz w:val="18"/>
              </w:rPr>
              <w:t>12,000</w:t>
            </w:r>
          </w:p>
        </w:tc>
        <w:tc>
          <w:tcPr>
            <w:tcW w:type="dxa" w:w="2232"/>
            <w:shd w:val="clear" w:color="auto" w:fill="FFFFFF"/>
            <w:vAlign w:val="center"/>
          </w:tcPr>
          <w:p>
            <w:pPr>
              <w:keepNext/>
              <w:widowControl/>
              <w:spacing w:before="0" w:after="0" w:line="240" w:lineRule="auto"/>
              <w:jc w:val="center"/>
            </w:pPr>
            <w:r>
              <w:rPr>
                <w:rFonts w:ascii="Arial" w:hAnsi="Arial" w:eastAsia="Arial" w:cs="Arial"/>
                <w:b/>
                <w:i w:val="0"/>
                <w:color w:val="111827"/>
                <w:sz w:val="18"/>
              </w:rPr>
              <w:t>5,656 (47.13%)</w:t>
            </w:r>
          </w:p>
        </w:tc>
        <w:tc>
          <w:tcPr>
            <w:tcW w:type="dxa" w:w="2045"/>
            <w:shd w:val="clear" w:color="auto" w:fill="FFFFFF"/>
            <w:vAlign w:val="center"/>
          </w:tcPr>
          <w:p>
            <w:pPr>
              <w:keepNext/>
              <w:widowControl/>
              <w:spacing w:before="0" w:after="0" w:line="240" w:lineRule="auto"/>
              <w:jc w:val="center"/>
            </w:pPr>
            <w:r>
              <w:rPr>
                <w:rFonts w:ascii="Arial" w:hAnsi="Arial" w:eastAsia="Arial" w:cs="Arial"/>
                <w:b/>
                <w:i w:val="0"/>
                <w:color w:val="111827"/>
                <w:sz w:val="18"/>
              </w:rPr>
              <w:t>5,996 (49.97%)</w:t>
            </w:r>
          </w:p>
        </w:tc>
        <w:tc>
          <w:tcPr>
            <w:tcW w:type="dxa" w:w="2232"/>
            <w:shd w:val="clear" w:color="auto" w:fill="FFFFFF"/>
            <w:vAlign w:val="center"/>
          </w:tcPr>
          <w:p>
            <w:pPr>
              <w:keepNext/>
              <w:widowControl/>
              <w:spacing w:before="0" w:after="0" w:line="240" w:lineRule="auto"/>
              <w:jc w:val="center"/>
            </w:pPr>
            <w:r>
              <w:rPr>
                <w:rFonts w:ascii="Arial" w:hAnsi="Arial" w:eastAsia="Arial" w:cs="Arial"/>
                <w:b/>
                <w:i w:val="0"/>
                <w:color w:val="111827"/>
                <w:sz w:val="18"/>
              </w:rPr>
              <w:t>348 (2.90%)</w:t>
            </w:r>
          </w:p>
        </w:tc>
      </w:tr>
      <w:tr>
        <w:trPr>
          <w:cantSplit/>
        </w:trPr>
        <w:tc>
          <w:tcPr>
            <w:tcW w:type="dxa" w:w="2232"/>
            <w:shd w:val="clear" w:color="auto" w:fill="F8FAFC"/>
            <w:vAlign w:val="center"/>
          </w:tcPr>
          <w:p>
            <w:pPr>
              <w:keepNext/>
              <w:widowControl/>
              <w:spacing w:before="0" w:after="0" w:line="240" w:lineRule="auto"/>
              <w:jc w:val="left"/>
            </w:pPr>
            <w:r>
              <w:rPr>
                <w:rFonts w:ascii="Arial" w:hAnsi="Arial" w:eastAsia="Arial" w:cs="Arial"/>
                <w:b/>
                <w:i w:val="0"/>
                <w:color w:val="111827"/>
                <w:sz w:val="18"/>
              </w:rPr>
              <w:t>LOW</w:t>
            </w:r>
          </w:p>
        </w:tc>
        <w:tc>
          <w:tcPr>
            <w:tcW w:type="dxa" w:w="1152"/>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1,200</w:t>
            </w:r>
          </w:p>
        </w:tc>
        <w:tc>
          <w:tcPr>
            <w:tcW w:type="dxa" w:w="2232"/>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 (0.00%)</w:t>
            </w:r>
          </w:p>
        </w:tc>
        <w:tc>
          <w:tcPr>
            <w:tcW w:type="dxa" w:w="2045"/>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1,200 (100.00%)</w:t>
            </w:r>
          </w:p>
        </w:tc>
        <w:tc>
          <w:tcPr>
            <w:tcW w:type="dxa" w:w="2232"/>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 (0.00%)</w:t>
            </w:r>
          </w:p>
        </w:tc>
      </w:tr>
      <w:tr>
        <w:trPr>
          <w:cantSplit/>
        </w:trPr>
        <w:tc>
          <w:tcPr>
            <w:tcW w:type="dxa" w:w="2232"/>
            <w:shd w:val="clear" w:color="auto" w:fill="FFFFFF"/>
            <w:vAlign w:val="center"/>
          </w:tcPr>
          <w:p>
            <w:pPr>
              <w:keepNext/>
              <w:widowControl/>
              <w:spacing w:before="0" w:after="0" w:line="240" w:lineRule="auto"/>
              <w:jc w:val="left"/>
            </w:pPr>
            <w:r>
              <w:rPr>
                <w:rFonts w:ascii="Arial" w:hAnsi="Arial" w:eastAsia="Arial" w:cs="Arial"/>
                <w:b/>
                <w:i w:val="0"/>
                <w:color w:val="111827"/>
                <w:sz w:val="18"/>
              </w:rPr>
              <w:t>MODERATE</w:t>
            </w:r>
          </w:p>
        </w:tc>
        <w:tc>
          <w:tcPr>
            <w:tcW w:type="dxa" w:w="115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4,800</w:t>
            </w:r>
          </w:p>
        </w:tc>
        <w:tc>
          <w:tcPr>
            <w:tcW w:type="dxa" w:w="223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1,180 (24.58%)</w:t>
            </w:r>
          </w:p>
        </w:tc>
        <w:tc>
          <w:tcPr>
            <w:tcW w:type="dxa" w:w="2045"/>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3,579 (74.56%)</w:t>
            </w:r>
          </w:p>
        </w:tc>
        <w:tc>
          <w:tcPr>
            <w:tcW w:type="dxa" w:w="223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41 (0.85%)</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HIGH</w:t>
            </w:r>
          </w:p>
        </w:tc>
        <w:tc>
          <w:tcPr>
            <w:tcW w:type="dxa" w:w="1152"/>
            <w:shd w:val="clear" w:color="auto" w:fill="F8FAFC"/>
            <w:vAlign w:val="center"/>
          </w:tcPr>
          <w:p>
            <w:pPr>
              <w:widowControl/>
              <w:spacing w:before="0" w:after="0" w:line="240" w:lineRule="auto"/>
              <w:jc w:val="center"/>
            </w:pPr>
            <w:r>
              <w:rPr>
                <w:rFonts w:ascii="Arial" w:hAnsi="Arial" w:eastAsia="Arial" w:cs="Arial"/>
                <w:b w:val="0"/>
                <w:i w:val="0"/>
                <w:color w:val="111827"/>
                <w:sz w:val="18"/>
              </w:rPr>
              <w:t>6,000</w:t>
            </w:r>
          </w:p>
        </w:tc>
        <w:tc>
          <w:tcPr>
            <w:tcW w:type="dxa" w:w="2232"/>
            <w:shd w:val="clear" w:color="auto" w:fill="F8FAFC"/>
            <w:vAlign w:val="center"/>
          </w:tcPr>
          <w:p>
            <w:pPr>
              <w:widowControl/>
              <w:spacing w:before="0" w:after="0" w:line="240" w:lineRule="auto"/>
              <w:jc w:val="center"/>
            </w:pPr>
            <w:r>
              <w:rPr>
                <w:rFonts w:ascii="Arial" w:hAnsi="Arial" w:eastAsia="Arial" w:cs="Arial"/>
                <w:b w:val="0"/>
                <w:i w:val="0"/>
                <w:color w:val="111827"/>
                <w:sz w:val="18"/>
              </w:rPr>
              <w:t>4,476 (74.60%)</w:t>
            </w:r>
          </w:p>
        </w:tc>
        <w:tc>
          <w:tcPr>
            <w:tcW w:type="dxa" w:w="2045"/>
            <w:shd w:val="clear" w:color="auto" w:fill="F8FAFC"/>
            <w:vAlign w:val="center"/>
          </w:tcPr>
          <w:p>
            <w:pPr>
              <w:widowControl/>
              <w:spacing w:before="0" w:after="0" w:line="240" w:lineRule="auto"/>
              <w:jc w:val="center"/>
            </w:pPr>
            <w:r>
              <w:rPr>
                <w:rFonts w:ascii="Arial" w:hAnsi="Arial" w:eastAsia="Arial" w:cs="Arial"/>
                <w:b w:val="0"/>
                <w:i w:val="0"/>
                <w:color w:val="111827"/>
                <w:sz w:val="18"/>
              </w:rPr>
              <w:t>1,217 (20.28%)</w:t>
            </w:r>
          </w:p>
        </w:tc>
        <w:tc>
          <w:tcPr>
            <w:tcW w:type="dxa" w:w="2232"/>
            <w:shd w:val="clear" w:color="auto" w:fill="F8FAFC"/>
            <w:vAlign w:val="center"/>
          </w:tcPr>
          <w:p>
            <w:pPr>
              <w:widowControl/>
              <w:spacing w:before="0" w:after="0" w:line="240" w:lineRule="auto"/>
              <w:jc w:val="center"/>
            </w:pPr>
            <w:r>
              <w:rPr>
                <w:rFonts w:ascii="Arial" w:hAnsi="Arial" w:eastAsia="Arial" w:cs="Arial"/>
                <w:b w:val="0"/>
                <w:i w:val="0"/>
                <w:color w:val="111827"/>
                <w:sz w:val="18"/>
              </w:rPr>
              <w:t>307 (5.12%)</w:t>
            </w:r>
          </w:p>
        </w:tc>
      </w:tr>
    </w:tbl>
    <w:p>
      <w:pPr>
        <w:pStyle w:val="Heading2"/>
        <w:keepNext/>
        <w:widowControl/>
        <w:spacing w:before="120" w:after="80" w:line="240" w:lineRule="auto"/>
      </w:pPr>
      <w:r>
        <w:rPr>
          <w:rFonts w:ascii="Arial" w:hAnsi="Arial" w:eastAsia="Arial" w:cs="Arial"/>
          <w:b/>
          <w:i w:val="0"/>
          <w:color w:val="000000"/>
          <w:sz w:val="22"/>
        </w:rPr>
        <w:t>Reading the paired outcome</w:t>
      </w:r>
    </w:p>
    <w:p>
      <w:pPr>
        <w:widowControl/>
        <w:spacing w:before="0" w:after="100" w:line="264" w:lineRule="auto"/>
      </w:pPr>
      <w:r>
        <w:rPr>
          <w:rFonts w:ascii="Arial" w:hAnsi="Arial" w:eastAsia="Arial" w:cs="Arial"/>
          <w:b/>
          <w:i w:val="0"/>
          <w:color w:val="111827"/>
          <w:sz w:val="20"/>
        </w:rPr>
        <w:t>Why the median paired difference is 0.</w:t>
      </w:r>
      <w:r>
        <w:rPr>
          <w:rFonts w:ascii="Arial" w:hAnsi="Arial" w:eastAsia="Arial" w:cs="Arial"/>
          <w:b w:val="0"/>
          <w:i w:val="0"/>
          <w:color w:val="111827"/>
          <w:sz w:val="20"/>
        </w:rPr>
        <w:t xml:space="preserve"> The median paired difference is 0 because the distribution contains 5,996 exact ties; this does not imply that AASHRAY has no effect. The mean difference is +0.2114. Together with the 348 FCFS wins, the ties make up 6,344 of the 12,000 differences (52.87%), so both middle values of the sorted differences (the 6,000th and 6,001th) are exactly 0. Ties occur at every scarcity level, not only where supply is ample: all 1,200 LOW scenarios, 3,579 of 4,800 MODERATE scenarios and 1,217 of 6,000 HIGH scenarios (table above).</w:t>
      </w:r>
    </w:p>
    <w:p>
      <w:pPr>
        <w:widowControl/>
        <w:spacing w:before="0" w:after="100" w:line="264" w:lineRule="auto"/>
      </w:pPr>
      <w:r>
        <w:rPr>
          <w:rFonts w:ascii="Arial" w:hAnsi="Arial" w:eastAsia="Arial" w:cs="Arial"/>
          <w:b/>
          <w:i w:val="0"/>
          <w:color w:val="111827"/>
          <w:sz w:val="20"/>
        </w:rPr>
        <w:t>Win rate versus probability of superiority.</w:t>
      </w:r>
      <w:r>
        <w:rPr>
          <w:rFonts w:ascii="Arial" w:hAnsi="Arial" w:eastAsia="Arial" w:cs="Arial"/>
          <w:b w:val="0"/>
          <w:i w:val="0"/>
          <w:color w:val="111827"/>
          <w:sz w:val="20"/>
        </w:rPr>
        <w:t xml:space="preserve"> The win rate (47.13%) counts only scenarios in which AASHRAY is strictly better. The </w:t>
      </w:r>
      <w:r>
        <w:rPr>
          <w:rFonts w:ascii="Arial" w:hAnsi="Arial" w:eastAsia="Arial" w:cs="Arial"/>
          <w:b/>
          <w:i w:val="0"/>
          <w:color w:val="111827"/>
          <w:sz w:val="20"/>
        </w:rPr>
        <w:t>probability of superiority</w:t>
      </w:r>
      <w:r>
        <w:rPr>
          <w:rFonts w:ascii="Arial" w:hAnsi="Arial" w:eastAsia="Arial" w:cs="Arial"/>
          <w:b w:val="0"/>
          <w:i w:val="0"/>
          <w:color w:val="111827"/>
          <w:sz w:val="20"/>
        </w:rPr>
        <w:t xml:space="preserve"> counts each tie as half a win: PS = (5,656 + 0.5 × 5,996) / 12,000 = 0.721. The two numbers measure different things and do not conflict. Among the 6,004 non-tied scenarios, AASHRAY is better in 5,656 (94.20%).</w:t>
      </w:r>
    </w:p>
    <w:p>
      <w:pPr>
        <w:widowControl/>
        <w:spacing w:before="0" w:after="0" w:line="120" w:lineRule="exact"/>
      </w:pPr>
    </w:p>
    <w:tbl>
      <w:tblPr>
        <w:tblW w:type="dxa" w:w="9893"/>
        <w:jc w:val="center"/>
        <w:tblBorders>
          <w:top w:val="nil"/>
          <w:left w:val="nil"/>
          <w:bottom w:val="nil"/>
          <w:right w:val="nil"/>
          <w:insideH w:val="nil"/>
          <w:insideV w:val="nil"/>
        </w:tblBorders>
        <w:tblLayout w:type="fixed"/>
        <w:tblCellMar>
          <w:top w:w="0" w:type="dxa"/>
          <w:left w:w="40" w:type="dxa"/>
          <w:bottom w:w="0" w:type="dxa"/>
          <w:right w:w="40" w:type="dxa"/>
        </w:tblCellMar>
        <w:tblLook w:firstColumn="1" w:firstRow="1" w:lastColumn="0" w:lastRow="0" w:noHBand="0" w:noVBand="1" w:val="04A0"/>
      </w:tblPr>
      <w:tblGrid>
        <w:gridCol w:w="4946"/>
        <w:gridCol w:w="4946"/>
      </w:tblGrid>
      <w:tr>
        <w:trPr>
          <w:cantSplit/>
        </w:trPr>
        <w:tc>
          <w:tcPr>
            <w:tcW w:type="dxa" w:w="4946"/>
          </w:tcPr>
          <w:p>
            <w:pPr>
              <w:keepNext/>
              <w:widowControl/>
              <w:spacing w:before="80" w:after="0" w:line="240" w:lineRule="auto"/>
              <w:jc w:val="center"/>
            </w:pPr>
            <w:r>
              <w:drawing>
                <wp:inline xmlns:a="http://schemas.openxmlformats.org/drawingml/2006/main" xmlns:pic="http://schemas.openxmlformats.org/drawingml/2006/picture">
                  <wp:extent cx="2751512" cy="2144683"/>
                  <wp:docPr id="1" name="Picture 1"/>
                  <wp:cNvGraphicFramePr>
                    <a:graphicFrameLocks noChangeAspect="1"/>
                  </wp:cNvGraphicFramePr>
                  <a:graphic>
                    <a:graphicData uri="http://schemas.openxmlformats.org/drawingml/2006/picture">
                      <pic:pic>
                        <pic:nvPicPr>
                          <pic:cNvPr id="0" name="fig01_mean_cdc.png"/>
                          <pic:cNvPicPr/>
                        </pic:nvPicPr>
                        <pic:blipFill>
                          <a:blip r:embed="rId12"/>
                          <a:stretch>
                            <a:fillRect/>
                          </a:stretch>
                        </pic:blipFill>
                        <pic:spPr>
                          <a:xfrm>
                            <a:off x="0" y="0"/>
                            <a:ext cx="2751512" cy="2144683"/>
                          </a:xfrm>
                          <a:prstGeom prst="rect"/>
                        </pic:spPr>
                      </pic:pic>
                    </a:graphicData>
                  </a:graphic>
                </wp:inline>
              </w:drawing>
            </w:r>
          </w:p>
          <w:p>
            <w:pPr>
              <w:widowControl/>
              <w:spacing w:before="60" w:after="40" w:line="240" w:lineRule="auto"/>
              <w:jc w:val="center"/>
            </w:pPr>
            <w:r>
              <w:rPr>
                <w:rFonts w:ascii="Arial" w:hAnsi="Arial" w:eastAsia="Arial" w:cs="Arial"/>
                <w:b w:val="0"/>
                <w:i/>
                <w:color w:val="64748B"/>
                <w:sz w:val="17"/>
              </w:rPr>
              <w:t>Figure 1. Mean critical-demand coverage across 12,000 held-out disaster scenarios.</w:t>
            </w:r>
          </w:p>
        </w:tc>
        <w:tc>
          <w:tcPr>
            <w:tcW w:type="dxa" w:w="4946"/>
          </w:tcPr>
          <w:p>
            <w:pPr>
              <w:keepNext/>
              <w:widowControl/>
              <w:spacing w:before="80" w:after="0" w:line="240" w:lineRule="auto"/>
              <w:jc w:val="center"/>
            </w:pPr>
            <w:r>
              <w:drawing>
                <wp:inline xmlns:a="http://schemas.openxmlformats.org/drawingml/2006/main" xmlns:pic="http://schemas.openxmlformats.org/drawingml/2006/picture">
                  <wp:extent cx="2809701" cy="2144683"/>
                  <wp:docPr id="2" name="Picture 2"/>
                  <wp:cNvGraphicFramePr>
                    <a:graphicFrameLocks noChangeAspect="1"/>
                  </wp:cNvGraphicFramePr>
                  <a:graphic>
                    <a:graphicData uri="http://schemas.openxmlformats.org/drawingml/2006/picture">
                      <pic:pic>
                        <pic:nvPicPr>
                          <pic:cNvPr id="0" name="fig02_win_tie_loss.png"/>
                          <pic:cNvPicPr/>
                        </pic:nvPicPr>
                        <pic:blipFill>
                          <a:blip r:embed="rId13"/>
                          <a:stretch>
                            <a:fillRect/>
                          </a:stretch>
                        </pic:blipFill>
                        <pic:spPr>
                          <a:xfrm>
                            <a:off x="0" y="0"/>
                            <a:ext cx="2809701" cy="2144683"/>
                          </a:xfrm>
                          <a:prstGeom prst="rect"/>
                        </pic:spPr>
                      </pic:pic>
                    </a:graphicData>
                  </a:graphic>
                </wp:inline>
              </w:drawing>
            </w:r>
          </w:p>
          <w:p>
            <w:pPr>
              <w:widowControl/>
              <w:spacing w:before="60" w:after="40" w:line="240" w:lineRule="auto"/>
              <w:jc w:val="center"/>
            </w:pPr>
            <w:r>
              <w:rPr>
                <w:rFonts w:ascii="Arial" w:hAnsi="Arial" w:eastAsia="Arial" w:cs="Arial"/>
                <w:b w:val="0"/>
                <w:i/>
                <w:color w:val="64748B"/>
                <w:sz w:val="17"/>
              </w:rPr>
              <w:t>Figure 2. Scenario-level paired outcome between AASHRAY and FCFS.</w:t>
            </w:r>
          </w:p>
        </w:tc>
      </w:tr>
    </w:tbl>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3. Scarcity-Stratified Results</w:t>
      </w:r>
    </w:p>
    <w:p>
      <w:pPr>
        <w:widowControl/>
        <w:spacing w:before="0" w:after="100" w:line="264" w:lineRule="auto"/>
      </w:pPr>
      <w:r>
        <w:rPr>
          <w:rFonts w:ascii="Arial" w:hAnsi="Arial" w:eastAsia="Arial" w:cs="Arial"/>
          <w:b w:val="0"/>
          <w:i w:val="0"/>
          <w:color w:val="111827"/>
          <w:sz w:val="20"/>
        </w:rPr>
        <w:t>Scarcity is the pre-registered stratification factor: it sets the ratio of total supply to total demand in each scenario. The HIGH-scarcity stratum gives the strongest practical result. Stratum-level intervals are descriptive; the only inferential test is the overall primary test.</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1368"/>
        <w:gridCol w:w="1008"/>
        <w:gridCol w:w="1296"/>
        <w:gridCol w:w="1512"/>
        <w:gridCol w:w="1296"/>
        <w:gridCol w:w="1613"/>
        <w:gridCol w:w="1800"/>
      </w:tblGrid>
      <w:tr>
        <w:trPr>
          <w:cantSplit/>
          <w:tblHeader/>
        </w:trPr>
        <w:tc>
          <w:tcPr>
            <w:tcW w:type="dxa" w:w="1368"/>
            <w:shd w:val="clear" w:color="auto" w:fill="0F172A"/>
            <w:vAlign w:val="center"/>
          </w:tcPr>
          <w:p>
            <w:pPr>
              <w:keepNext/>
              <w:widowControl/>
              <w:spacing w:before="0" w:after="0" w:line="240" w:lineRule="auto"/>
              <w:jc w:val="left"/>
            </w:pPr>
            <w:r>
              <w:rPr>
                <w:rFonts w:ascii="Arial" w:hAnsi="Arial" w:eastAsia="Arial" w:cs="Arial"/>
                <w:b/>
                <w:i w:val="0"/>
                <w:color w:val="FFFFFF"/>
                <w:sz w:val="18"/>
              </w:rPr>
              <w:t>Scarcity</w:t>
            </w:r>
          </w:p>
        </w:tc>
        <w:tc>
          <w:tcPr>
            <w:tcW w:type="dxa" w:w="1008"/>
            <w:shd w:val="clear" w:color="auto" w:fill="0F172A"/>
            <w:vAlign w:val="center"/>
          </w:tcPr>
          <w:p>
            <w:pPr>
              <w:keepNext/>
              <w:widowControl/>
              <w:spacing w:before="0" w:after="0" w:line="240" w:lineRule="auto"/>
              <w:jc w:val="center"/>
            </w:pPr>
            <w:r>
              <w:rPr>
                <w:rFonts w:ascii="Arial" w:hAnsi="Arial" w:eastAsia="Arial" w:cs="Arial"/>
                <w:b/>
                <w:i w:val="0"/>
                <w:color w:val="FFFFFF"/>
                <w:sz w:val="18"/>
              </w:rPr>
              <w:t>n</w:t>
            </w:r>
          </w:p>
        </w:tc>
        <w:tc>
          <w:tcPr>
            <w:tcW w:type="dxa" w:w="1296"/>
            <w:shd w:val="clear" w:color="auto" w:fill="0F172A"/>
            <w:vAlign w:val="center"/>
          </w:tcPr>
          <w:p>
            <w:pPr>
              <w:keepNext/>
              <w:widowControl/>
              <w:spacing w:before="0" w:after="0" w:line="240" w:lineRule="auto"/>
              <w:jc w:val="center"/>
            </w:pPr>
            <w:r>
              <w:rPr>
                <w:rFonts w:ascii="Arial" w:hAnsi="Arial" w:eastAsia="Arial" w:cs="Arial"/>
                <w:b/>
                <w:i w:val="0"/>
                <w:color w:val="FFFFFF"/>
                <w:sz w:val="18"/>
              </w:rPr>
              <w:t>FCFS CDC</w:t>
            </w:r>
          </w:p>
        </w:tc>
        <w:tc>
          <w:tcPr>
            <w:tcW w:type="dxa" w:w="1512"/>
            <w:shd w:val="clear" w:color="auto" w:fill="0F172A"/>
            <w:vAlign w:val="center"/>
          </w:tcPr>
          <w:p>
            <w:pPr>
              <w:keepNext/>
              <w:widowControl/>
              <w:spacing w:before="0" w:after="0" w:line="240" w:lineRule="auto"/>
              <w:jc w:val="center"/>
            </w:pPr>
            <w:r>
              <w:rPr>
                <w:rFonts w:ascii="Arial" w:hAnsi="Arial" w:eastAsia="Arial" w:cs="Arial"/>
                <w:b/>
                <w:i w:val="0"/>
                <w:color w:val="FFFFFF"/>
                <w:sz w:val="18"/>
              </w:rPr>
              <w:t>AASHRAY CDC</w:t>
            </w:r>
          </w:p>
        </w:tc>
        <w:tc>
          <w:tcPr>
            <w:tcW w:type="dxa" w:w="1296"/>
            <w:shd w:val="clear" w:color="auto" w:fill="0F172A"/>
            <w:vAlign w:val="center"/>
          </w:tcPr>
          <w:p>
            <w:pPr>
              <w:keepNext/>
              <w:widowControl/>
              <w:spacing w:before="0" w:after="0" w:line="240" w:lineRule="auto"/>
              <w:jc w:val="center"/>
            </w:pPr>
            <w:r>
              <w:rPr>
                <w:rFonts w:ascii="Arial" w:hAnsi="Arial" w:eastAsia="Arial" w:cs="Arial"/>
                <w:b/>
                <w:i w:val="0"/>
                <w:color w:val="FFFFFF"/>
                <w:sz w:val="18"/>
              </w:rPr>
              <w:t>MILP CDC</w:t>
            </w:r>
          </w:p>
        </w:tc>
        <w:tc>
          <w:tcPr>
            <w:tcW w:type="dxa" w:w="1613"/>
            <w:shd w:val="clear" w:color="auto" w:fill="0F172A"/>
            <w:vAlign w:val="center"/>
          </w:tcPr>
          <w:p>
            <w:pPr>
              <w:keepNext/>
              <w:widowControl/>
              <w:spacing w:before="0" w:after="0" w:line="240" w:lineRule="auto"/>
              <w:jc w:val="center"/>
            </w:pPr>
            <w:r>
              <w:rPr>
                <w:rFonts w:ascii="Arial" w:hAnsi="Arial" w:eastAsia="Arial" w:cs="Arial"/>
                <w:b/>
                <w:i w:val="0"/>
                <w:color w:val="FFFFFF"/>
                <w:sz w:val="18"/>
              </w:rPr>
              <w:t>AASHRAY − FCFS</w:t>
            </w:r>
          </w:p>
        </w:tc>
        <w:tc>
          <w:tcPr>
            <w:tcW w:type="dxa" w:w="1800"/>
            <w:shd w:val="clear" w:color="auto" w:fill="0F172A"/>
            <w:vAlign w:val="center"/>
          </w:tcPr>
          <w:p>
            <w:pPr>
              <w:keepNext/>
              <w:widowControl/>
              <w:spacing w:before="0" w:after="0" w:line="240" w:lineRule="auto"/>
              <w:jc w:val="center"/>
            </w:pPr>
            <w:r>
              <w:rPr>
                <w:rFonts w:ascii="Arial" w:hAnsi="Arial" w:eastAsia="Arial" w:cs="Arial"/>
                <w:b/>
                <w:i w:val="0"/>
                <w:color w:val="FFFFFF"/>
                <w:sz w:val="18"/>
              </w:rPr>
              <w:t>Mean optimality gap ‡</w:t>
            </w:r>
          </w:p>
        </w:tc>
      </w:tr>
      <w:tr>
        <w:trPr>
          <w:cantSplit/>
        </w:trPr>
        <w:tc>
          <w:tcPr>
            <w:tcW w:type="dxa" w:w="1368"/>
            <w:shd w:val="clear" w:color="auto" w:fill="FFFFFF"/>
            <w:vAlign w:val="center"/>
          </w:tcPr>
          <w:p>
            <w:pPr>
              <w:keepNext/>
              <w:widowControl/>
              <w:spacing w:before="0" w:after="0" w:line="240" w:lineRule="auto"/>
              <w:jc w:val="left"/>
            </w:pPr>
            <w:r>
              <w:rPr>
                <w:rFonts w:ascii="Arial" w:hAnsi="Arial" w:eastAsia="Arial" w:cs="Arial"/>
                <w:b/>
                <w:i w:val="0"/>
                <w:color w:val="111827"/>
                <w:sz w:val="18"/>
              </w:rPr>
              <w:t>LOW</w:t>
            </w:r>
          </w:p>
        </w:tc>
        <w:tc>
          <w:tcPr>
            <w:tcW w:type="dxa" w:w="1008"/>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1,200</w:t>
            </w:r>
          </w:p>
        </w:tc>
        <w:tc>
          <w:tcPr>
            <w:tcW w:type="dxa" w:w="1296"/>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1.0000</w:t>
            </w:r>
          </w:p>
        </w:tc>
        <w:tc>
          <w:tcPr>
            <w:tcW w:type="dxa" w:w="151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1.0000</w:t>
            </w:r>
          </w:p>
        </w:tc>
        <w:tc>
          <w:tcPr>
            <w:tcW w:type="dxa" w:w="1296"/>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1.0000</w:t>
            </w:r>
          </w:p>
        </w:tc>
        <w:tc>
          <w:tcPr>
            <w:tcW w:type="dxa" w:w="1613"/>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0.0000</w:t>
            </w:r>
          </w:p>
        </w:tc>
        <w:tc>
          <w:tcPr>
            <w:tcW w:type="dxa" w:w="1800"/>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0.0000</w:t>
            </w:r>
          </w:p>
        </w:tc>
      </w:tr>
      <w:tr>
        <w:trPr>
          <w:cantSplit/>
        </w:trPr>
        <w:tc>
          <w:tcPr>
            <w:tcW w:type="dxa" w:w="1368"/>
            <w:shd w:val="clear" w:color="auto" w:fill="F8FAFC"/>
            <w:vAlign w:val="center"/>
          </w:tcPr>
          <w:p>
            <w:pPr>
              <w:keepNext/>
              <w:widowControl/>
              <w:spacing w:before="0" w:after="0" w:line="240" w:lineRule="auto"/>
              <w:jc w:val="left"/>
            </w:pPr>
            <w:r>
              <w:rPr>
                <w:rFonts w:ascii="Arial" w:hAnsi="Arial" w:eastAsia="Arial" w:cs="Arial"/>
                <w:b/>
                <w:i w:val="0"/>
                <w:color w:val="111827"/>
                <w:sz w:val="18"/>
              </w:rPr>
              <w:t>MODERATE</w:t>
            </w:r>
          </w:p>
        </w:tc>
        <w:tc>
          <w:tcPr>
            <w:tcW w:type="dxa" w:w="1008"/>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4,800</w:t>
            </w:r>
          </w:p>
        </w:tc>
        <w:tc>
          <w:tcPr>
            <w:tcW w:type="dxa" w:w="1296"/>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0.9709</w:t>
            </w:r>
          </w:p>
        </w:tc>
        <w:tc>
          <w:tcPr>
            <w:tcW w:type="dxa" w:w="1512"/>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0.9983</w:t>
            </w:r>
          </w:p>
        </w:tc>
        <w:tc>
          <w:tcPr>
            <w:tcW w:type="dxa" w:w="1296"/>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0.9995</w:t>
            </w:r>
          </w:p>
        </w:tc>
        <w:tc>
          <w:tcPr>
            <w:tcW w:type="dxa" w:w="1613"/>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+0.0274</w:t>
            </w:r>
          </w:p>
        </w:tc>
        <w:tc>
          <w:tcPr>
            <w:tcW w:type="dxa" w:w="1800"/>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0.0012</w:t>
            </w:r>
          </w:p>
        </w:tc>
      </w:tr>
      <w:tr>
        <w:trPr>
          <w:cantSplit/>
        </w:trPr>
        <w:tc>
          <w:tcPr>
            <w:tcW w:type="dxa" w:w="1368"/>
            <w:shd w:val="clear" w:color="auto" w:fill="DBEAFE"/>
            <w:vAlign w:val="center"/>
          </w:tcPr>
          <w:p>
            <w:pPr>
              <w:widowControl/>
              <w:spacing w:before="0" w:after="0" w:line="240" w:lineRule="auto"/>
              <w:jc w:val="left"/>
            </w:pPr>
            <w:r>
              <w:rPr>
                <w:rFonts w:ascii="Arial" w:hAnsi="Arial" w:eastAsia="Arial" w:cs="Arial"/>
                <w:b/>
                <w:i w:val="0"/>
                <w:color w:val="111827"/>
                <w:sz w:val="18"/>
              </w:rPr>
              <w:t>HIGH</w:t>
            </w:r>
          </w:p>
        </w:tc>
        <w:tc>
          <w:tcPr>
            <w:tcW w:type="dxa" w:w="1008"/>
            <w:shd w:val="clear" w:color="auto" w:fill="DBEAFE"/>
            <w:vAlign w:val="center"/>
          </w:tcPr>
          <w:p>
            <w:pPr>
              <w:widowControl/>
              <w:spacing w:before="0" w:after="0" w:line="240" w:lineRule="auto"/>
              <w:jc w:val="center"/>
            </w:pPr>
            <w:r>
              <w:rPr>
                <w:rFonts w:ascii="Arial" w:hAnsi="Arial" w:eastAsia="Arial" w:cs="Arial"/>
                <w:b/>
                <w:i w:val="0"/>
                <w:color w:val="111827"/>
                <w:sz w:val="18"/>
              </w:rPr>
              <w:t>6,000</w:t>
            </w:r>
          </w:p>
        </w:tc>
        <w:tc>
          <w:tcPr>
            <w:tcW w:type="dxa" w:w="1296"/>
            <w:shd w:val="clear" w:color="auto" w:fill="DBEAFE"/>
            <w:vAlign w:val="center"/>
          </w:tcPr>
          <w:p>
            <w:pPr>
              <w:widowControl/>
              <w:spacing w:before="0" w:after="0" w:line="240" w:lineRule="auto"/>
              <w:jc w:val="center"/>
            </w:pPr>
            <w:r>
              <w:rPr>
                <w:rFonts w:ascii="Arial" w:hAnsi="Arial" w:eastAsia="Arial" w:cs="Arial"/>
                <w:b/>
                <w:i w:val="0"/>
                <w:color w:val="111827"/>
                <w:sz w:val="18"/>
              </w:rPr>
              <w:t>0.4958</w:t>
            </w:r>
          </w:p>
        </w:tc>
        <w:tc>
          <w:tcPr>
            <w:tcW w:type="dxa" w:w="1512"/>
            <w:shd w:val="clear" w:color="auto" w:fill="DBEAFE"/>
            <w:vAlign w:val="center"/>
          </w:tcPr>
          <w:p>
            <w:pPr>
              <w:widowControl/>
              <w:spacing w:before="0" w:after="0" w:line="240" w:lineRule="auto"/>
              <w:jc w:val="center"/>
            </w:pPr>
            <w:r>
              <w:rPr>
                <w:rFonts w:ascii="Arial" w:hAnsi="Arial" w:eastAsia="Arial" w:cs="Arial"/>
                <w:b/>
                <w:i w:val="0"/>
                <w:color w:val="111827"/>
                <w:sz w:val="18"/>
              </w:rPr>
              <w:t>0.8968</w:t>
            </w:r>
          </w:p>
        </w:tc>
        <w:tc>
          <w:tcPr>
            <w:tcW w:type="dxa" w:w="1296"/>
            <w:shd w:val="clear" w:color="auto" w:fill="DBEAFE"/>
            <w:vAlign w:val="center"/>
          </w:tcPr>
          <w:p>
            <w:pPr>
              <w:widowControl/>
              <w:spacing w:before="0" w:after="0" w:line="240" w:lineRule="auto"/>
              <w:jc w:val="center"/>
            </w:pPr>
            <w:r>
              <w:rPr>
                <w:rFonts w:ascii="Arial" w:hAnsi="Arial" w:eastAsia="Arial" w:cs="Arial"/>
                <w:b/>
                <w:i w:val="0"/>
                <w:color w:val="111827"/>
                <w:sz w:val="18"/>
              </w:rPr>
              <w:t>0.9637</w:t>
            </w:r>
          </w:p>
        </w:tc>
        <w:tc>
          <w:tcPr>
            <w:tcW w:type="dxa" w:w="1613"/>
            <w:shd w:val="clear" w:color="auto" w:fill="DBEAFE"/>
            <w:vAlign w:val="center"/>
          </w:tcPr>
          <w:p>
            <w:pPr>
              <w:widowControl/>
              <w:spacing w:before="0" w:after="0" w:line="240" w:lineRule="auto"/>
              <w:jc w:val="center"/>
            </w:pPr>
            <w:r>
              <w:rPr>
                <w:rFonts w:ascii="Arial" w:hAnsi="Arial" w:eastAsia="Arial" w:cs="Arial"/>
                <w:b/>
                <w:i w:val="0"/>
                <w:color w:val="111827"/>
                <w:sz w:val="18"/>
              </w:rPr>
              <w:t>+0.4009</w:t>
            </w:r>
          </w:p>
        </w:tc>
        <w:tc>
          <w:tcPr>
            <w:tcW w:type="dxa" w:w="1800"/>
            <w:shd w:val="clear" w:color="auto" w:fill="DBEAFE"/>
            <w:vAlign w:val="center"/>
          </w:tcPr>
          <w:p>
            <w:pPr>
              <w:widowControl/>
              <w:spacing w:before="0" w:after="0" w:line="240" w:lineRule="auto"/>
              <w:jc w:val="center"/>
            </w:pPr>
            <w:r>
              <w:rPr>
                <w:rFonts w:ascii="Arial" w:hAnsi="Arial" w:eastAsia="Arial" w:cs="Arial"/>
                <w:b/>
                <w:i w:val="0"/>
                <w:color w:val="111827"/>
                <w:sz w:val="18"/>
              </w:rPr>
              <w:t>0.0691</w:t>
            </w:r>
          </w:p>
        </w:tc>
      </w:tr>
    </w:tbl>
    <w:p>
      <w:pPr>
        <w:widowControl/>
        <w:spacing w:before="60" w:after="100" w:line="264" w:lineRule="auto"/>
      </w:pPr>
      <w:r>
        <w:rPr>
          <w:rFonts w:ascii="Arial" w:hAnsi="Arial" w:eastAsia="Arial" w:cs="Arial"/>
          <w:b w:val="0"/>
          <w:i w:val="0"/>
          <w:color w:val="64748B"/>
          <w:sz w:val="16"/>
        </w:rPr>
        <w:t>‡ Mean relative gap (CDC</w:t>
      </w:r>
      <w:r>
        <w:rPr>
          <w:rFonts w:ascii="Arial" w:hAnsi="Arial" w:eastAsia="Arial" w:cs="Arial"/>
          <w:b w:val="0"/>
          <w:i w:val="0"/>
          <w:color w:val="64748B"/>
          <w:sz w:val="16"/>
          <w:vertAlign w:val="subscript"/>
        </w:rPr>
        <w:t>MILP</w:t>
      </w:r>
      <w:r>
        <w:rPr>
          <w:rFonts w:ascii="Arial" w:hAnsi="Arial" w:eastAsia="Arial" w:cs="Arial"/>
          <w:b w:val="0"/>
          <w:i w:val="0"/>
          <w:color w:val="64748B"/>
          <w:sz w:val="16"/>
        </w:rPr>
        <w:t xml:space="preserve"> − CDC</w:t>
      </w:r>
      <w:r>
        <w:rPr>
          <w:rFonts w:ascii="Arial" w:hAnsi="Arial" w:eastAsia="Arial" w:cs="Arial"/>
          <w:b w:val="0"/>
          <w:i w:val="0"/>
          <w:color w:val="64748B"/>
          <w:sz w:val="16"/>
          <w:vertAlign w:val="subscript"/>
        </w:rPr>
        <w:t>AASHRAY</w:t>
      </w:r>
      <w:r>
        <w:rPr>
          <w:rFonts w:ascii="Arial" w:hAnsi="Arial" w:eastAsia="Arial" w:cs="Arial"/>
          <w:b w:val="0"/>
          <w:i w:val="0"/>
          <w:color w:val="64748B"/>
          <w:sz w:val="16"/>
        </w:rPr>
        <w:t>) / CDC</w:t>
      </w:r>
      <w:r>
        <w:rPr>
          <w:rFonts w:ascii="Arial" w:hAnsi="Arial" w:eastAsia="Arial" w:cs="Arial"/>
          <w:b w:val="0"/>
          <w:i w:val="0"/>
          <w:color w:val="64748B"/>
          <w:sz w:val="16"/>
          <w:vertAlign w:val="subscript"/>
        </w:rPr>
        <w:t>MILP</w:t>
      </w:r>
      <w:r>
        <w:rPr>
          <w:rFonts w:ascii="Arial" w:hAnsi="Arial" w:eastAsia="Arial" w:cs="Arial"/>
          <w:b w:val="0"/>
          <w:i w:val="0"/>
          <w:color w:val="64748B"/>
          <w:sz w:val="16"/>
        </w:rPr>
        <w:t xml:space="preserve"> (Section 5). The report brief labelled this column 'AASHRAY−MILP' with the values 0.0012 and 0.0691; those are mean relative gaps. The difference of means AASHRAY − MILP is −0.0012 (MODERATE) and −0.0669 (HIGH).</w:t>
      </w:r>
    </w:p>
    <w:tbl>
      <w:tblPr>
        <w:tblW w:type="dxa" w:w="9893"/>
        <w:jc w:val="center"/>
        <w:tblBorders>
          <w:top w:val="single" w:sz="4" w:space="0" w:color="BFDBFE"/>
          <w:left w:val="single" w:sz="4" w:space="0" w:color="BFDBFE"/>
          <w:bottom w:val="single" w:sz="4" w:space="0" w:color="BFDBFE"/>
          <w:right w:val="single" w:sz="4" w:space="0" w:color="BFDBFE"/>
          <w:insideH w:val="single" w:sz="4" w:space="0" w:color="BFDBFE"/>
          <w:insideV w:val="single" w:sz="4" w:space="0" w:color="BFDBFE"/>
        </w:tblBorders>
        <w:tblLayout w:type="fixed"/>
        <w:tblCellMar>
          <w:top w:w="80" w:type="dxa"/>
          <w:left w:w="120" w:type="dxa"/>
          <w:bottom w:w="80" w:type="dxa"/>
          <w:right w:w="120" w:type="dxa"/>
        </w:tblCellMar>
        <w:tblLook w:firstColumn="1" w:firstRow="1" w:lastColumn="0" w:lastRow="0" w:noHBand="0" w:noVBand="1" w:val="04A0"/>
      </w:tblPr>
      <w:tblGrid>
        <w:gridCol w:w="9893"/>
      </w:tblGrid>
      <w:tr>
        <w:trPr>
          <w:cantSplit/>
        </w:trPr>
        <w:tc>
          <w:tcPr>
            <w:tcW w:type="dxa" w:w="9893"/>
            <w:shd w:val="clear" w:color="auto" w:fill="DBEAFE"/>
          </w:tcPr>
          <w:p>
            <w:pPr>
              <w:widowControl/>
              <w:spacing w:before="0" w:after="0" w:line="264" w:lineRule="auto"/>
            </w:pPr>
            <w:r>
              <w:rPr>
                <w:rFonts w:ascii="Arial" w:hAnsi="Arial" w:eastAsia="Arial" w:cs="Arial"/>
                <w:b/>
                <w:i w:val="0"/>
                <w:color w:val="0F172A"/>
                <w:sz w:val="22"/>
              </w:rPr>
              <w:t>HIGH scarcity (n = 6,000): CDC 0.4958 (FCFS) → 0.8968 (AASHRAY), an improvement of +0.4009 absolute.</w:t>
            </w:r>
          </w:p>
          <w:p>
            <w:pPr>
              <w:widowControl/>
              <w:spacing w:before="60" w:after="0" w:line="264" w:lineRule="auto"/>
            </w:pPr>
            <w:r>
              <w:rPr>
                <w:rFonts w:ascii="Arial" w:hAnsi="Arial" w:eastAsia="Arial" w:cs="Arial"/>
                <w:b w:val="0"/>
                <w:i w:val="0"/>
                <w:color w:val="0F172A"/>
                <w:sz w:val="20"/>
              </w:rPr>
              <w:t>Descriptive 95% CI [0.3906, 0.4112]. AASHRAY is better in 4,476 HIGH scenarios (74.60%), tied in 1,217 (20.28%) and worse in 307 (5.12%); the MILP benchmark reaches 0.9637.</w:t>
            </w:r>
          </w:p>
        </w:tc>
      </w:tr>
    </w:tbl>
    <w:p>
      <w:pPr>
        <w:widowControl/>
        <w:spacing w:before="140" w:after="100" w:line="264" w:lineRule="auto"/>
      </w:pPr>
      <w:r>
        <w:rPr>
          <w:rFonts w:ascii="Arial" w:hAnsi="Arial" w:eastAsia="Arial" w:cs="Arial"/>
          <w:b w:val="0"/>
          <w:i w:val="0"/>
          <w:color w:val="111827"/>
          <w:sz w:val="20"/>
        </w:rPr>
        <w:t xml:space="preserve">Under MODERATE scarcity the gain is small (+0.0274; AASHRAY better in 24.58%, tied in 74.56%). Under LOW scarcity all three methods reach full GT-critical coverage (CDC = 1.0000), so no improvement is possible and none is claimed. </w:t>
      </w:r>
      <w:r>
        <w:rPr>
          <w:rFonts w:ascii="Arial" w:hAnsi="Arial" w:eastAsia="Arial" w:cs="Arial"/>
          <w:b/>
          <w:i w:val="0"/>
          <w:color w:val="111827"/>
          <w:sz w:val="20"/>
        </w:rPr>
        <w:t>The benefit of priority-based allocation becomes most pronounced when resources are scarce.</w:t>
      </w:r>
    </w:p>
    <w:p>
      <w:pPr>
        <w:keepNext/>
        <w:widowControl/>
        <w:spacing w:before="120" w:after="0" w:line="240" w:lineRule="auto"/>
        <w:jc w:val="center"/>
      </w:pPr>
      <w:r>
        <w:drawing>
          <wp:inline xmlns:a="http://schemas.openxmlformats.org/drawingml/2006/main" xmlns:pic="http://schemas.openxmlformats.org/drawingml/2006/picture">
            <wp:extent cx="5124796" cy="2236123"/>
            <wp:docPr id="3" name="Picture 3"/>
            <wp:cNvGraphicFramePr>
              <a:graphicFrameLocks noChangeAspect="1"/>
            </wp:cNvGraphicFramePr>
            <a:graphic>
              <a:graphicData uri="http://schemas.openxmlformats.org/drawingml/2006/picture">
                <pic:pic>
                  <pic:nvPicPr>
                    <pic:cNvPr id="0" name="fig03_cdc_by_scarcity.png"/>
                    <pic:cNvPicPr/>
                  </pic:nvPicPr>
                  <pic:blipFill>
                    <a:blip r:embed="rId14"/>
                    <a:stretch>
                      <a:fillRect/>
                    </a:stretch>
                  </pic:blipFill>
                  <pic:spPr>
                    <a:xfrm>
                      <a:off x="0" y="0"/>
                      <a:ext cx="5124796" cy="2236123"/>
                    </a:xfrm>
                    <a:prstGeom prst="rect"/>
                  </pic:spPr>
                </pic:pic>
              </a:graphicData>
            </a:graphic>
          </wp:inline>
        </w:drawing>
      </w:r>
    </w:p>
    <w:p>
      <w:pPr>
        <w:widowControl/>
        <w:spacing w:before="60" w:after="160" w:line="240" w:lineRule="auto"/>
        <w:jc w:val="center"/>
      </w:pPr>
      <w:r>
        <w:rPr>
          <w:rFonts w:ascii="Arial" w:hAnsi="Arial" w:eastAsia="Arial" w:cs="Arial"/>
          <w:b w:val="0"/>
          <w:i/>
          <w:color w:val="64748B"/>
          <w:sz w:val="17"/>
        </w:rPr>
        <w:t>Figure 3. Critical-demand coverage by resource-scarcity level.</w:t>
      </w:r>
    </w:p>
    <w:p>
      <w:pPr>
        <w:pStyle w:val="Heading2"/>
        <w:keepNext/>
        <w:widowControl/>
        <w:spacing w:before="80" w:after="80" w:line="240" w:lineRule="auto"/>
      </w:pPr>
      <w:r>
        <w:rPr>
          <w:rFonts w:ascii="Arial" w:hAnsi="Arial" w:eastAsia="Arial" w:cs="Arial"/>
          <w:b/>
          <w:i w:val="0"/>
          <w:color w:val="000000"/>
          <w:sz w:val="22"/>
        </w:rPr>
        <w:t>Total Demand Coverage (descriptive only)</w:t>
      </w:r>
    </w:p>
    <w:p>
      <w:pPr>
        <w:widowControl/>
        <w:spacing w:before="0" w:after="100" w:line="264" w:lineRule="auto"/>
      </w:pPr>
      <w:r>
        <w:rPr>
          <w:rFonts w:ascii="Arial" w:hAnsi="Arial" w:eastAsia="Arial" w:cs="Arial"/>
          <w:b w:val="0"/>
          <w:i w:val="0"/>
          <w:color w:val="111827"/>
          <w:sz w:val="20"/>
        </w:rPr>
        <w:t>TDC is the share of all demand units fulfilled, GT-critical or not. Overall TDC is 0.7394 for both FCFS and AASHRAY (LOW 1.0000, MODERATE 0.9747, HIGH 0.4991), and the two values are identical in every one of the 12,000 scenarios. Under the current fungible-resource allocation model, with no vehicle, route or time limits, the serving order changes who receives resources rather than the total quantity eventually delivered. AASHRAY therefore does not improve total resource utilization, and TDC is reported descriptively, not as evidence for AASHRAY. CDC is the primary metric because the hypothesis concerns the prioritization of GT-critical demand. MILP TDC is not reported: the MILP objective counts only GT-critical demand, so its allocation of other demand is solver-dependent.</w:t>
      </w:r>
    </w:p>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4. Statistical Testing</w:t>
      </w:r>
    </w:p>
    <w:p>
      <w:pPr>
        <w:keepNext/>
        <w:widowControl/>
        <w:spacing w:before="0" w:after="0" w:line="264" w:lineRule="auto"/>
      </w:pPr>
      <w:r>
        <w:rPr>
          <w:rFonts w:ascii="Arial" w:hAnsi="Arial" w:eastAsia="Arial" w:cs="Arial"/>
          <w:b w:val="0"/>
          <w:i w:val="0"/>
          <w:color w:val="111827"/>
          <w:sz w:val="20"/>
        </w:rPr>
        <w:t>Each method is evaluated on exactly the same scenario, so inference uses the per-scenario paired differences Δ</w:t>
      </w:r>
      <w:r>
        <w:rPr>
          <w:rFonts w:ascii="Arial" w:hAnsi="Arial" w:eastAsia="Arial" w:cs="Arial"/>
          <w:b w:val="0"/>
          <w:i w:val="0"/>
          <w:color w:val="111827"/>
          <w:sz w:val="20"/>
          <w:vertAlign w:val="subscript"/>
        </w:rPr>
        <w:t>i</w:t>
      </w:r>
      <w:r>
        <w:rPr>
          <w:rFonts w:ascii="Arial" w:hAnsi="Arial" w:eastAsia="Arial" w:cs="Arial"/>
          <w:b w:val="0"/>
          <w:i w:val="0"/>
          <w:color w:val="111827"/>
          <w:sz w:val="20"/>
        </w:rPr>
        <w:t xml:space="preserve"> = CDC</w:t>
      </w:r>
      <w:r>
        <w:rPr>
          <w:rFonts w:ascii="Arial" w:hAnsi="Arial" w:eastAsia="Arial" w:cs="Arial"/>
          <w:b w:val="0"/>
          <w:i w:val="0"/>
          <w:color w:val="111827"/>
          <w:sz w:val="20"/>
          <w:vertAlign w:val="subscript"/>
        </w:rPr>
        <w:t>AASHRAY,i</w:t>
      </w:r>
      <w:r>
        <w:rPr>
          <w:rFonts w:ascii="Arial" w:hAnsi="Arial" w:eastAsia="Arial" w:cs="Arial"/>
          <w:b w:val="0"/>
          <w:i w:val="0"/>
          <w:color w:val="111827"/>
          <w:sz w:val="20"/>
        </w:rPr>
        <w:t xml:space="preserve"> − CDC</w:t>
      </w:r>
      <w:r>
        <w:rPr>
          <w:rFonts w:ascii="Arial" w:hAnsi="Arial" w:eastAsia="Arial" w:cs="Arial"/>
          <w:b w:val="0"/>
          <w:i w:val="0"/>
          <w:color w:val="111827"/>
          <w:sz w:val="20"/>
          <w:vertAlign w:val="subscript"/>
        </w:rPr>
        <w:t>FCFS,i</w:t>
      </w:r>
      <w:r>
        <w:rPr>
          <w:rFonts w:ascii="Arial" w:hAnsi="Arial" w:eastAsia="Arial" w:cs="Arial"/>
          <w:b w:val="0"/>
          <w:i w:val="0"/>
          <w:color w:val="111827"/>
          <w:sz w:val="20"/>
        </w:rPr>
        <w:t xml:space="preserve"> (n = 12,000; no scenario had undefined CDC). The test statistic is the mean difference, +0.2114 (+21.14 percentage points; +28.7% relative to the FCFS mean). Under H0 the sign of each paired difference is exchangeable, so the permutation test re-evaluates the mean after independent random sign flips:</w:t>
      </w:r>
    </w:p>
    <w:p>
      <w:pPr>
        <w:keepNext/>
        <w:widowControl/>
        <w:spacing w:before="40" w:after="80" w:line="240" w:lineRule="auto"/>
        <w:jc w:val="center"/>
      </w:pPr>
      <m:oMathPara>
        <m:oMathParaPr>
          <m:jc m:val="center"/>
        </m:oMathParaPr>
        <m:oMath>
          <m:r>
            <w:rPr>
              <w:rFonts w:ascii="Cambria Math" w:hAnsi="Cambria Math"/>
              <w:sz w:val="21"/>
            </w:rPr>
            <m:t xml:space="preserve">p = </m:t>
          </m:r>
          <m:f>
            <m:num>
              <m:r>
                <w:rPr>
                  <w:rFonts w:ascii="Cambria Math" w:hAnsi="Cambria Math"/>
                  <w:sz w:val="21"/>
                </w:rPr>
                <m:t xml:space="preserve">1 + #</m:t>
              </m:r>
              <m:d>
                <m:dPr>
                  <m:begChr m:val="{"/>
                  <m:endChr m:val="}"/>
                </m:dPr>
                <m:e>
                  <m:r>
                    <w:rPr>
                      <w:rFonts w:ascii="Cambria Math" w:hAnsi="Cambria Math"/>
                      <w:sz w:val="21"/>
                    </w:rPr>
                    <m:t xml:space="preserve">b : </m:t>
                  </m:r>
                  <m:sSup>
                    <m:e>
                      <m:bar>
                        <m:barPr>
                          <m:pos m:val="top"/>
                        </m:barPr>
                        <m:e>
                          <m:r>
                            <m:rPr>
                              <m:sty m:val="p"/>
                            </m:rPr>
                            <w:rPr>
                              <w:rFonts w:ascii="Cambria Math" w:hAnsi="Cambria Math"/>
                              <w:sz w:val="21"/>
                            </w:rPr>
                            <m:t xml:space="preserve">Δ</m:t>
                          </m:r>
                        </m:e>
                      </m:bar>
                    </m:e>
                    <m:sup>
                      <m:d>
                        <m:dPr>
                          <m:begChr m:val="("/>
                          <m:endChr m:val=")"/>
                        </m:dPr>
                        <m:e>
                          <m:r>
                            <w:rPr>
                              <w:rFonts w:ascii="Cambria Math" w:hAnsi="Cambria Math"/>
                              <w:sz w:val="21"/>
                            </w:rPr>
                            <m:t xml:space="preserve">b</m:t>
                          </m:r>
                        </m:e>
                      </m:d>
                    </m:sup>
                  </m:sSup>
                  <m:r>
                    <w:rPr>
                      <w:rFonts w:ascii="Cambria Math" w:hAnsi="Cambria Math"/>
                      <w:sz w:val="21"/>
                    </w:rPr>
                    <m:t xml:space="preserve"> ≥ </m:t>
                  </m:r>
                  <m:bar>
                    <m:barPr>
                      <m:pos m:val="top"/>
                    </m:barPr>
                    <m:e>
                      <m:r>
                        <m:rPr>
                          <m:sty m:val="p"/>
                        </m:rPr>
                        <w:rPr>
                          <w:rFonts w:ascii="Cambria Math" w:hAnsi="Cambria Math"/>
                          <w:sz w:val="21"/>
                        </w:rPr>
                        <m:t xml:space="preserve">Δ</m:t>
                      </m:r>
                    </m:e>
                  </m:bar>
                </m:e>
              </m:d>
            </m:num>
            <m:den>
              <m:r>
                <w:rPr>
                  <w:rFonts w:ascii="Cambria Math" w:hAnsi="Cambria Math"/>
                  <w:sz w:val="21"/>
                </w:rPr>
                <m:t xml:space="preserve">B + 1</m:t>
              </m:r>
            </m:den>
          </m:f>
          <m:r>
            <w:rPr>
              <w:rFonts w:ascii="Cambria Math" w:hAnsi="Cambria Math"/>
              <w:sz w:val="21"/>
            </w:rPr>
            <m:t xml:space="preserve"> = </m:t>
          </m:r>
          <m:f>
            <m:num>
              <m:r>
                <w:rPr>
                  <w:rFonts w:ascii="Cambria Math" w:hAnsi="Cambria Math"/>
                  <w:sz w:val="21"/>
                </w:rPr>
                <m:t xml:space="preserve">1</m:t>
              </m:r>
            </m:num>
            <m:den>
              <m:r>
                <w:rPr>
                  <w:rFonts w:ascii="Cambria Math" w:hAnsi="Cambria Math"/>
                  <w:sz w:val="21"/>
                </w:rPr>
                <m:t xml:space="preserve">100,001</m:t>
              </m:r>
            </m:den>
          </m:f>
          <m:r>
            <w:rPr>
              <w:rFonts w:ascii="Cambria Math" w:hAnsi="Cambria Math"/>
              <w:sz w:val="21"/>
            </w:rPr>
            <m:t xml:space="preserve"> ≈ 9.9999 × </m:t>
          </m:r>
          <m:sSup>
            <m:e>
              <m:r>
                <w:rPr>
                  <w:rFonts w:ascii="Cambria Math" w:hAnsi="Cambria Math"/>
                  <w:sz w:val="21"/>
                </w:rPr>
                <m:t xml:space="preserve">10</m:t>
              </m:r>
            </m:e>
            <m:sup>
              <m:r>
                <w:rPr>
                  <w:rFonts w:ascii="Cambria Math" w:hAnsi="Cambria Math"/>
                  <w:sz w:val="21"/>
                </w:rPr>
                <m:t xml:space="preserve">−6</m:t>
              </m:r>
            </m:sup>
          </m:sSup>
        </m:oMath>
      </m:oMathPara>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1944"/>
        <w:gridCol w:w="3096"/>
        <w:gridCol w:w="3269"/>
        <w:gridCol w:w="1584"/>
      </w:tblGrid>
      <w:tr>
        <w:trPr>
          <w:cantSplit/>
          <w:tblHeader/>
        </w:trPr>
        <w:tc>
          <w:tcPr>
            <w:tcW w:type="dxa" w:w="1944"/>
            <w:shd w:val="clear" w:color="auto" w:fill="0F172A"/>
            <w:vAlign w:val="center"/>
          </w:tcPr>
          <w:p>
            <w:pPr>
              <w:keepNext/>
              <w:widowControl/>
              <w:spacing w:before="0" w:after="0" w:line="240" w:lineRule="auto"/>
              <w:jc w:val="left"/>
            </w:pPr>
            <w:r>
              <w:rPr>
                <w:rFonts w:ascii="Arial" w:hAnsi="Arial" w:eastAsia="Arial" w:cs="Arial"/>
                <w:b/>
                <w:i w:val="0"/>
                <w:color w:val="FFFFFF"/>
                <w:sz w:val="17"/>
              </w:rPr>
              <w:t>Test</w:t>
            </w:r>
          </w:p>
        </w:tc>
        <w:tc>
          <w:tcPr>
            <w:tcW w:type="dxa" w:w="3096"/>
            <w:shd w:val="clear" w:color="auto" w:fill="0F172A"/>
            <w:vAlign w:val="center"/>
          </w:tcPr>
          <w:p>
            <w:pPr>
              <w:keepNext/>
              <w:widowControl/>
              <w:spacing w:before="0" w:after="0" w:line="240" w:lineRule="auto"/>
              <w:jc w:val="left"/>
            </w:pPr>
            <w:r>
              <w:rPr>
                <w:rFonts w:ascii="Arial" w:hAnsi="Arial" w:eastAsia="Arial" w:cs="Arial"/>
                <w:b/>
                <w:i w:val="0"/>
                <w:color w:val="FFFFFF"/>
                <w:sz w:val="17"/>
              </w:rPr>
              <w:t>Settings</w:t>
            </w:r>
          </w:p>
        </w:tc>
        <w:tc>
          <w:tcPr>
            <w:tcW w:type="dxa" w:w="3269"/>
            <w:shd w:val="clear" w:color="auto" w:fill="0F172A"/>
            <w:vAlign w:val="center"/>
          </w:tcPr>
          <w:p>
            <w:pPr>
              <w:keepNext/>
              <w:widowControl/>
              <w:spacing w:before="0" w:after="0" w:line="240" w:lineRule="auto"/>
              <w:jc w:val="left"/>
            </w:pPr>
            <w:r>
              <w:rPr>
                <w:rFonts w:ascii="Arial" w:hAnsi="Arial" w:eastAsia="Arial" w:cs="Arial"/>
                <w:b/>
                <w:i w:val="0"/>
                <w:color w:val="FFFFFF"/>
                <w:sz w:val="17"/>
              </w:rPr>
              <w:t>Result</w:t>
            </w:r>
          </w:p>
        </w:tc>
        <w:tc>
          <w:tcPr>
            <w:tcW w:type="dxa" w:w="1584"/>
            <w:shd w:val="clear" w:color="auto" w:fill="0F172A"/>
            <w:vAlign w:val="center"/>
          </w:tcPr>
          <w:p>
            <w:pPr>
              <w:keepNext/>
              <w:widowControl/>
              <w:spacing w:before="0" w:after="0" w:line="240" w:lineRule="auto"/>
              <w:jc w:val="left"/>
            </w:pPr>
            <w:r>
              <w:rPr>
                <w:rFonts w:ascii="Arial" w:hAnsi="Arial" w:eastAsia="Arial" w:cs="Arial"/>
                <w:b/>
                <w:i w:val="0"/>
                <w:color w:val="FFFFFF"/>
                <w:sz w:val="17"/>
              </w:rPr>
              <w:t>Decision</w:t>
            </w:r>
          </w:p>
        </w:tc>
      </w:tr>
      <w:tr>
        <w:trPr>
          <w:cantSplit/>
        </w:trPr>
        <w:tc>
          <w:tcPr>
            <w:tcW w:type="dxa" w:w="1944"/>
            <w:shd w:val="clear" w:color="auto" w:fill="FFFFFF"/>
            <w:vAlign w:val="center"/>
          </w:tcPr>
          <w:p>
            <w:pPr>
              <w:keepNext/>
              <w:widowControl/>
              <w:spacing w:before="0" w:after="0" w:line="240" w:lineRule="auto"/>
              <w:jc w:val="left"/>
            </w:pPr>
            <w:r>
              <w:rPr>
                <w:rFonts w:ascii="Arial" w:hAnsi="Arial" w:eastAsia="Arial" w:cs="Arial"/>
                <w:b/>
                <w:i w:val="0"/>
                <w:color w:val="111827"/>
                <w:sz w:val="17"/>
              </w:rPr>
              <w:t>Sign-flip permutation (primary)</w:t>
            </w:r>
          </w:p>
        </w:tc>
        <w:tc>
          <w:tcPr>
            <w:tcW w:type="dxa" w:w="3096"/>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One-sided; statistic mean Δ; 100,000 random sign flips; seed 20261210; α = 0.05</w:t>
            </w:r>
          </w:p>
        </w:tc>
        <w:tc>
          <w:tcPr>
            <w:tcW w:type="dxa" w:w="3269"/>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Observed mean Δ = 0.2114; 0 of 100,000 permuted means ≥ observed; p = 9.9999 × 10</w:t>
            </w:r>
            <w:r>
              <w:rPr>
                <w:rFonts w:ascii="Arial" w:hAnsi="Arial" w:eastAsia="Arial" w:cs="Arial"/>
                <w:b w:val="0"/>
                <w:i w:val="0"/>
                <w:color w:val="111827"/>
                <w:sz w:val="17"/>
                <w:vertAlign w:val="superscript"/>
              </w:rPr>
              <w:t>−6</w:t>
            </w:r>
          </w:p>
        </w:tc>
        <w:tc>
          <w:tcPr>
            <w:tcW w:type="dxa" w:w="1584"/>
            <w:shd w:val="clear" w:color="auto" w:fill="DCFCE7"/>
            <w:vAlign w:val="center"/>
          </w:tcPr>
          <w:p>
            <w:pPr>
              <w:keepNext/>
              <w:widowControl/>
              <w:spacing w:before="0" w:after="0" w:line="240" w:lineRule="auto"/>
              <w:jc w:val="left"/>
            </w:pPr>
            <w:r>
              <w:rPr>
                <w:rFonts w:ascii="Arial" w:hAnsi="Arial" w:eastAsia="Arial" w:cs="Arial"/>
                <w:b/>
                <w:i w:val="0"/>
                <w:color w:val="111827"/>
                <w:sz w:val="17"/>
              </w:rPr>
              <w:t>Reject H0</w:t>
            </w:r>
          </w:p>
        </w:tc>
      </w:tr>
      <w:tr>
        <w:trPr>
          <w:cantSplit/>
        </w:trPr>
        <w:tc>
          <w:tcPr>
            <w:tcW w:type="dxa" w:w="1944"/>
            <w:shd w:val="clear" w:color="auto" w:fill="F8FAFC"/>
            <w:vAlign w:val="center"/>
          </w:tcPr>
          <w:p>
            <w:pPr>
              <w:keepNext/>
              <w:widowControl/>
              <w:spacing w:before="0" w:after="0" w:line="240" w:lineRule="auto"/>
              <w:jc w:val="left"/>
            </w:pPr>
            <w:r>
              <w:rPr>
                <w:rFonts w:ascii="Arial" w:hAnsi="Arial" w:eastAsia="Arial" w:cs="Arial"/>
                <w:b/>
                <w:i w:val="0"/>
                <w:color w:val="111827"/>
                <w:sz w:val="17"/>
              </w:rPr>
              <w:t>Paired percentile bootstrap</w:t>
            </w:r>
          </w:p>
        </w:tc>
        <w:tc>
          <w:tcPr>
            <w:tcW w:type="dxa" w:w="3096"/>
            <w:shd w:val="clear" w:color="auto" w:fill="F8FAFC"/>
            <w:vAlign w:val="center"/>
          </w:tcPr>
          <w:p>
            <w:pPr>
              <w:keepNext/>
              <w:widowControl/>
              <w:spacing w:before="0" w:after="0" w:line="240" w:lineRule="auto"/>
              <w:jc w:val="left"/>
            </w:pPr>
            <w:r>
              <w:rPr>
                <w:rFonts w:ascii="Arial" w:hAnsi="Arial" w:eastAsia="Arial" w:cs="Arial"/>
                <w:b w:val="0"/>
                <w:i w:val="0"/>
                <w:color w:val="111827"/>
                <w:sz w:val="17"/>
              </w:rPr>
              <w:t>10,000 resamples of scenarios; seed 20261211; 2.5th / 97.5th percentiles</w:t>
            </w:r>
          </w:p>
        </w:tc>
        <w:tc>
          <w:tcPr>
            <w:tcW w:type="dxa" w:w="3269"/>
            <w:shd w:val="clear" w:color="auto" w:fill="F8FAFC"/>
            <w:vAlign w:val="center"/>
          </w:tcPr>
          <w:p>
            <w:pPr>
              <w:keepNext/>
              <w:widowControl/>
              <w:spacing w:before="0" w:after="0" w:line="240" w:lineRule="auto"/>
              <w:jc w:val="left"/>
            </w:pPr>
            <w:r>
              <w:rPr>
                <w:rFonts w:ascii="Arial" w:hAnsi="Arial" w:eastAsia="Arial" w:cs="Arial"/>
                <w:b w:val="0"/>
                <w:i w:val="0"/>
                <w:color w:val="111827"/>
                <w:sz w:val="17"/>
              </w:rPr>
              <w:t>95% CI [0.2053, 0.2177]; bootstrap SE 0.0032</w:t>
            </w:r>
          </w:p>
        </w:tc>
        <w:tc>
          <w:tcPr>
            <w:tcW w:type="dxa" w:w="1584"/>
            <w:shd w:val="clear" w:color="auto" w:fill="DCFCE7"/>
            <w:vAlign w:val="center"/>
          </w:tcPr>
          <w:p>
            <w:pPr>
              <w:keepNext/>
              <w:widowControl/>
              <w:spacing w:before="0" w:after="0" w:line="240" w:lineRule="auto"/>
              <w:jc w:val="left"/>
            </w:pPr>
            <w:r>
              <w:rPr>
                <w:rFonts w:ascii="Arial" w:hAnsi="Arial" w:eastAsia="Arial" w:cs="Arial"/>
                <w:b/>
                <w:i w:val="0"/>
                <w:color w:val="111827"/>
                <w:sz w:val="17"/>
              </w:rPr>
              <w:t>CI excludes 0</w:t>
            </w:r>
          </w:p>
        </w:tc>
      </w:tr>
      <w:tr>
        <w:trPr>
          <w:cantSplit/>
        </w:trPr>
        <w:tc>
          <w:tcPr>
            <w:tcW w:type="dxa" w:w="1944"/>
            <w:shd w:val="clear" w:color="auto" w:fill="FFFFFF"/>
            <w:vAlign w:val="center"/>
          </w:tcPr>
          <w:p>
            <w:pPr>
              <w:keepNext/>
              <w:widowControl/>
              <w:spacing w:before="0" w:after="0" w:line="240" w:lineRule="auto"/>
              <w:jc w:val="left"/>
            </w:pPr>
            <w:r>
              <w:rPr>
                <w:rFonts w:ascii="Arial" w:hAnsi="Arial" w:eastAsia="Arial" w:cs="Arial"/>
                <w:b/>
                <w:i w:val="0"/>
                <w:color w:val="111827"/>
                <w:sz w:val="17"/>
              </w:rPr>
              <w:t>Wilcoxon signed-rank (secondary)</w:t>
            </w:r>
          </w:p>
        </w:tc>
        <w:tc>
          <w:tcPr>
            <w:tcW w:type="dxa" w:w="3096"/>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One-sided (AASHRAY &gt; FCFS); 5,996 zero differences dropped, n = 6,004; normal approximation</w:t>
            </w:r>
          </w:p>
        </w:tc>
        <w:tc>
          <w:tcPr>
            <w:tcW w:type="dxa" w:w="3269"/>
            <w:shd w:val="clear" w:color="auto" w:fill="FFFFFF"/>
            <w:vAlign w:val="center"/>
          </w:tcPr>
          <w:p>
            <w:pPr>
              <w:keepNext/>
              <w:widowControl/>
              <w:spacing w:before="0" w:after="0" w:line="240" w:lineRule="auto"/>
              <w:jc w:val="left"/>
            </w:pPr>
            <w:r>
              <w:rPr>
                <w:rFonts w:ascii="Arial" w:hAnsi="Arial" w:eastAsia="Arial" w:cs="Arial"/>
                <w:b w:val="0"/>
                <w:i w:val="0"/>
                <w:color w:val="111827"/>
                <w:sz w:val="17"/>
              </w:rPr>
              <w:t>W</w:t>
            </w:r>
            <w:r>
              <w:rPr>
                <w:rFonts w:ascii="Arial" w:hAnsi="Arial" w:eastAsia="Arial" w:cs="Arial"/>
                <w:b w:val="0"/>
                <w:i w:val="0"/>
                <w:color w:val="111827"/>
                <w:sz w:val="17"/>
                <w:vertAlign w:val="superscript"/>
              </w:rPr>
              <w:t>+</w:t>
            </w:r>
            <w:r>
              <w:rPr>
                <w:rFonts w:ascii="Arial" w:hAnsi="Arial" w:eastAsia="Arial" w:cs="Arial"/>
                <w:b w:val="0"/>
                <w:i w:val="0"/>
                <w:color w:val="111827"/>
                <w:sz w:val="17"/>
              </w:rPr>
              <w:t xml:space="preserve"> = 17,244,745.5; z = 61.31; p &lt; 10</w:t>
            </w:r>
            <w:r>
              <w:rPr>
                <w:rFonts w:ascii="Arial" w:hAnsi="Arial" w:eastAsia="Arial" w:cs="Arial"/>
                <w:b w:val="0"/>
                <w:i w:val="0"/>
                <w:color w:val="111827"/>
                <w:sz w:val="17"/>
                <w:vertAlign w:val="superscript"/>
              </w:rPr>
              <w:t>−300</w:t>
            </w:r>
            <w:r>
              <w:rPr>
                <w:rFonts w:ascii="Arial" w:hAnsi="Arial" w:eastAsia="Arial" w:cs="Arial"/>
                <w:b w:val="0"/>
                <w:i w:val="0"/>
                <w:color w:val="111827"/>
                <w:sz w:val="17"/>
              </w:rPr>
              <w:t xml:space="preserve"> (below double precision; normal approximation log</w:t>
            </w:r>
            <w:r>
              <w:rPr>
                <w:rFonts w:ascii="Arial" w:hAnsi="Arial" w:eastAsia="Arial" w:cs="Arial"/>
                <w:b w:val="0"/>
                <w:i w:val="0"/>
                <w:color w:val="111827"/>
                <w:sz w:val="17"/>
                <w:vertAlign w:val="subscript"/>
              </w:rPr>
              <w:t>10</w:t>
            </w:r>
            <w:r>
              <w:rPr>
                <w:rFonts w:ascii="Arial" w:hAnsi="Arial" w:eastAsia="Arial" w:cs="Arial"/>
                <w:b w:val="0"/>
                <w:i w:val="0"/>
                <w:color w:val="111827"/>
                <w:sz w:val="17"/>
              </w:rPr>
              <w:t xml:space="preserve"> p ≈ −818)</w:t>
            </w:r>
          </w:p>
        </w:tc>
        <w:tc>
          <w:tcPr>
            <w:tcW w:type="dxa" w:w="1584"/>
            <w:shd w:val="clear" w:color="auto" w:fill="DCFCE7"/>
            <w:vAlign w:val="center"/>
          </w:tcPr>
          <w:p>
            <w:pPr>
              <w:keepNext/>
              <w:widowControl/>
              <w:spacing w:before="0" w:after="0" w:line="240" w:lineRule="auto"/>
              <w:jc w:val="left"/>
            </w:pPr>
            <w:r>
              <w:rPr>
                <w:rFonts w:ascii="Arial" w:hAnsi="Arial" w:eastAsia="Arial" w:cs="Arial"/>
                <w:b/>
                <w:i w:val="0"/>
                <w:color w:val="111827"/>
                <w:sz w:val="17"/>
              </w:rPr>
              <w:t>Consistent with primary</w:t>
            </w:r>
          </w:p>
        </w:tc>
      </w:tr>
      <w:tr>
        <w:trPr>
          <w:cantSplit/>
        </w:trPr>
        <w:tc>
          <w:tcPr>
            <w:tcW w:type="dxa" w:w="1944"/>
            <w:shd w:val="clear" w:color="auto" w:fill="F8FAFC"/>
            <w:vAlign w:val="center"/>
          </w:tcPr>
          <w:p>
            <w:pPr>
              <w:widowControl/>
              <w:spacing w:before="0" w:after="0" w:line="240" w:lineRule="auto"/>
              <w:jc w:val="left"/>
            </w:pPr>
            <w:r>
              <w:rPr>
                <w:rFonts w:ascii="Arial" w:hAnsi="Arial" w:eastAsia="Arial" w:cs="Arial"/>
                <w:b/>
                <w:i w:val="0"/>
                <w:color w:val="111827"/>
                <w:sz w:val="17"/>
              </w:rPr>
              <w:t>Effect size</w:t>
            </w:r>
          </w:p>
        </w:tc>
        <w:tc>
          <w:tcPr>
            <w:tcW w:type="dxa" w:w="3096"/>
            <w:shd w:val="clear" w:color="auto" w:fill="F8FAFC"/>
            <w:vAlign w:val="center"/>
          </w:tcPr>
          <w:p>
            <w:pPr>
              <w:widowControl/>
              <w:spacing w:before="0" w:after="0" w:line="240" w:lineRule="auto"/>
              <w:jc w:val="left"/>
            </w:pPr>
            <w:r>
              <w:rPr>
                <w:rFonts w:ascii="Arial" w:hAnsi="Arial" w:eastAsia="Arial" w:cs="Arial"/>
                <w:b w:val="0"/>
                <w:i w:val="0"/>
                <w:color w:val="111827"/>
                <w:sz w:val="17"/>
              </w:rPr>
              <w:t>Cohen's d</w:t>
            </w:r>
            <w:r>
              <w:rPr>
                <w:rFonts w:ascii="Arial" w:hAnsi="Arial" w:eastAsia="Arial" w:cs="Arial"/>
                <w:b w:val="0"/>
                <w:i w:val="0"/>
                <w:color w:val="111827"/>
                <w:sz w:val="17"/>
                <w:vertAlign w:val="subscript"/>
              </w:rPr>
              <w:t>z</w:t>
            </w:r>
            <w:r>
              <w:rPr>
                <w:rFonts w:ascii="Arial" w:hAnsi="Arial" w:eastAsia="Arial" w:cs="Arial"/>
                <w:b w:val="0"/>
                <w:i w:val="0"/>
                <w:color w:val="111827"/>
                <w:sz w:val="17"/>
              </w:rPr>
              <w:t xml:space="preserve"> = mean Δ / SD(Δ), ddof = 1; PS = (wins + 0.5 × ties) / n</w:t>
            </w:r>
          </w:p>
        </w:tc>
        <w:tc>
          <w:tcPr>
            <w:tcW w:type="dxa" w:w="3269"/>
            <w:shd w:val="clear" w:color="auto" w:fill="F8FAFC"/>
            <w:vAlign w:val="center"/>
          </w:tcPr>
          <w:p>
            <w:pPr>
              <w:widowControl/>
              <w:spacing w:before="0" w:after="0" w:line="240" w:lineRule="auto"/>
              <w:jc w:val="left"/>
            </w:pPr>
            <w:r>
              <w:rPr>
                <w:rFonts w:ascii="Arial" w:hAnsi="Arial" w:eastAsia="Arial" w:cs="Arial"/>
                <w:b w:val="0"/>
                <w:i w:val="0"/>
                <w:color w:val="111827"/>
                <w:sz w:val="17"/>
              </w:rPr>
              <w:t>d</w:t>
            </w:r>
            <w:r>
              <w:rPr>
                <w:rFonts w:ascii="Arial" w:hAnsi="Arial" w:eastAsia="Arial" w:cs="Arial"/>
                <w:b w:val="0"/>
                <w:i w:val="0"/>
                <w:color w:val="111827"/>
                <w:sz w:val="17"/>
                <w:vertAlign w:val="subscript"/>
              </w:rPr>
              <w:t>z</w:t>
            </w:r>
            <w:r>
              <w:rPr>
                <w:rFonts w:ascii="Arial" w:hAnsi="Arial" w:eastAsia="Arial" w:cs="Arial"/>
                <w:b w:val="0"/>
                <w:i w:val="0"/>
                <w:color w:val="111827"/>
                <w:sz w:val="17"/>
              </w:rPr>
              <w:t xml:space="preserve"> = 0.603 (SD 0.3507); probability of superiority = 0.721</w:t>
            </w:r>
          </w:p>
        </w:tc>
        <w:tc>
          <w:tcPr>
            <w:tcW w:type="dxa" w:w="1584"/>
            <w:shd w:val="clear" w:color="auto" w:fill="F8FAFC"/>
            <w:vAlign w:val="center"/>
          </w:tcPr>
          <w:p>
            <w:pPr>
              <w:widowControl/>
              <w:spacing w:before="0" w:after="0" w:line="240" w:lineRule="auto"/>
              <w:jc w:val="left"/>
            </w:pPr>
            <w:r>
              <w:rPr>
                <w:rFonts w:ascii="Arial" w:hAnsi="Arial" w:eastAsia="Arial" w:cs="Arial"/>
                <w:b w:val="0"/>
                <w:i w:val="0"/>
                <w:color w:val="111827"/>
                <w:sz w:val="17"/>
              </w:rPr>
              <w:t>Descriptive</w:t>
            </w:r>
          </w:p>
        </w:tc>
      </w:tr>
    </w:tbl>
    <w:p>
      <w:pPr>
        <w:widowControl/>
        <w:spacing w:before="120" w:after="100" w:line="264" w:lineRule="auto"/>
      </w:pPr>
      <w:r>
        <w:rPr>
          <w:rFonts w:ascii="Arial" w:hAnsi="Arial" w:eastAsia="Arial" w:cs="Arial"/>
          <w:b w:val="0"/>
          <w:i w:val="0"/>
          <w:color w:val="111827"/>
          <w:sz w:val="20"/>
        </w:rPr>
        <w:t>None of the B = 100,000 sign-flipped means reached the observed value, so p equals the smallest value attainable with the +1 correction; resolving a smaller p-value would need more permutations. The Wilcoxon signed-rank test is secondary (the pre-registered primary inference is the permutation test). Its p-value underflows double-precision floating point (the library returns zero), so it is reported as a bound rather than as an exact value.</w:t>
      </w:r>
    </w:p>
    <w:p>
      <w:pPr>
        <w:keepNext/>
        <w:widowControl/>
        <w:spacing w:before="120" w:after="0" w:line="240" w:lineRule="auto"/>
        <w:jc w:val="center"/>
      </w:pPr>
      <w:r>
        <w:drawing>
          <wp:inline xmlns:a="http://schemas.openxmlformats.org/drawingml/2006/main" xmlns:pic="http://schemas.openxmlformats.org/drawingml/2006/picture">
            <wp:extent cx="5203767" cy="2331720"/>
            <wp:docPr id="4" name="Picture 4"/>
            <wp:cNvGraphicFramePr>
              <a:graphicFrameLocks noChangeAspect="1"/>
            </wp:cNvGraphicFramePr>
            <a:graphic>
              <a:graphicData uri="http://schemas.openxmlformats.org/drawingml/2006/picture">
                <pic:pic>
                  <pic:nvPicPr>
                    <pic:cNvPr id="0" name="fig04_delta_distribution.png"/>
                    <pic:cNvPicPr/>
                  </pic:nvPicPr>
                  <pic:blipFill>
                    <a:blip r:embed="rId15"/>
                    <a:stretch>
                      <a:fillRect/>
                    </a:stretch>
                  </pic:blipFill>
                  <pic:spPr>
                    <a:xfrm>
                      <a:off x="0" y="0"/>
                      <a:ext cx="5203767" cy="2331720"/>
                    </a:xfrm>
                    <a:prstGeom prst="rect"/>
                  </pic:spPr>
                </pic:pic>
              </a:graphicData>
            </a:graphic>
          </wp:inline>
        </w:drawing>
      </w:r>
    </w:p>
    <w:p>
      <w:pPr>
        <w:widowControl/>
        <w:spacing w:before="60" w:after="160" w:line="240" w:lineRule="auto"/>
        <w:jc w:val="center"/>
      </w:pPr>
      <w:r>
        <w:rPr>
          <w:rFonts w:ascii="Arial" w:hAnsi="Arial" w:eastAsia="Arial" w:cs="Arial"/>
          <w:b w:val="0"/>
          <w:i/>
          <w:color w:val="64748B"/>
          <w:sz w:val="17"/>
        </w:rPr>
        <w:t>Figure 4. Distribution of paired CDC improvements produced by AASHRAY relative to FCFS.</w:t>
      </w:r>
    </w:p>
    <w:p>
      <w:pPr>
        <w:keepNext/>
        <w:widowControl/>
        <w:spacing w:before="120" w:after="0" w:line="240" w:lineRule="auto"/>
        <w:jc w:val="center"/>
      </w:pPr>
      <w:r>
        <w:drawing>
          <wp:inline xmlns:a="http://schemas.openxmlformats.org/drawingml/2006/main" xmlns:pic="http://schemas.openxmlformats.org/drawingml/2006/picture">
            <wp:extent cx="5224549" cy="2161309"/>
            <wp:docPr id="5" name="Picture 5"/>
            <wp:cNvGraphicFramePr>
              <a:graphicFrameLocks noChangeAspect="1"/>
            </wp:cNvGraphicFramePr>
            <a:graphic>
              <a:graphicData uri="http://schemas.openxmlformats.org/drawingml/2006/picture">
                <pic:pic>
                  <pic:nvPicPr>
                    <pic:cNvPr id="0" name="fig05_bootstrap.png"/>
                    <pic:cNvPicPr/>
                  </pic:nvPicPr>
                  <pic:blipFill>
                    <a:blip r:embed="rId16"/>
                    <a:stretch>
                      <a:fillRect/>
                    </a:stretch>
                  </pic:blipFill>
                  <pic:spPr>
                    <a:xfrm>
                      <a:off x="0" y="0"/>
                      <a:ext cx="5224549" cy="2161309"/>
                    </a:xfrm>
                    <a:prstGeom prst="rect"/>
                  </pic:spPr>
                </pic:pic>
              </a:graphicData>
            </a:graphic>
          </wp:inline>
        </w:drawing>
      </w:r>
    </w:p>
    <w:p>
      <w:pPr>
        <w:widowControl/>
        <w:spacing w:before="60" w:after="160" w:line="240" w:lineRule="auto"/>
        <w:jc w:val="center"/>
      </w:pPr>
      <w:r>
        <w:rPr>
          <w:rFonts w:ascii="Arial" w:hAnsi="Arial" w:eastAsia="Arial" w:cs="Arial"/>
          <w:b w:val="0"/>
          <w:i/>
          <w:color w:val="64748B"/>
          <w:sz w:val="17"/>
        </w:rPr>
        <w:t>Figure 5. Paired bootstrap distribution of the mean CDC improvement (left: full scale including 0; right: zoom with the 95% percentile interval).</w:t>
      </w:r>
    </w:p>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5. Optimization Benchmark</w:t>
      </w:r>
    </w:p>
    <w:p>
      <w:pPr>
        <w:keepNext/>
        <w:widowControl/>
        <w:spacing w:before="0" w:after="0" w:line="264" w:lineRule="auto"/>
      </w:pPr>
      <w:r>
        <w:rPr>
          <w:rFonts w:ascii="Arial" w:hAnsi="Arial" w:eastAsia="Arial" w:cs="Arial"/>
          <w:b w:val="0"/>
          <w:i w:val="0"/>
          <w:color w:val="111827"/>
          <w:sz w:val="20"/>
        </w:rPr>
        <w:t>The MILP is used as an optimization benchmark and correctness oracle for the current allocation formulation. It is not treated as a competing heuristic. Its integer decision variable x</w:t>
      </w:r>
      <w:r>
        <w:rPr>
          <w:rFonts w:ascii="Arial" w:hAnsi="Arial" w:eastAsia="Arial" w:cs="Arial"/>
          <w:b w:val="0"/>
          <w:i w:val="0"/>
          <w:color w:val="111827"/>
          <w:sz w:val="20"/>
          <w:vertAlign w:val="subscript"/>
        </w:rPr>
        <w:t>e,r,w</w:t>
      </w:r>
      <w:r>
        <w:rPr>
          <w:rFonts w:ascii="Arial" w:hAnsi="Arial" w:eastAsia="Arial" w:cs="Arial"/>
          <w:b w:val="0"/>
          <w:i w:val="0"/>
          <w:color w:val="111827"/>
          <w:sz w:val="20"/>
        </w:rPr>
        <w:t xml:space="preserve"> is the number of units of resource type r allocated from warehouse w to emergency e; a</w:t>
      </w:r>
      <w:r>
        <w:rPr>
          <w:rFonts w:ascii="Arial" w:hAnsi="Arial" w:eastAsia="Arial" w:cs="Arial"/>
          <w:b w:val="0"/>
          <w:i w:val="0"/>
          <w:color w:val="111827"/>
          <w:sz w:val="20"/>
          <w:vertAlign w:val="subscript"/>
        </w:rPr>
        <w:t>w,r</w:t>
      </w:r>
      <w:r>
        <w:rPr>
          <w:rFonts w:ascii="Arial" w:hAnsi="Arial" w:eastAsia="Arial" w:cs="Arial"/>
          <w:b w:val="0"/>
          <w:i w:val="0"/>
          <w:color w:val="111827"/>
          <w:sz w:val="20"/>
        </w:rPr>
        <w:t xml:space="preserve"> is the supply and d</w:t>
      </w:r>
      <w:r>
        <w:rPr>
          <w:rFonts w:ascii="Arial" w:hAnsi="Arial" w:eastAsia="Arial" w:cs="Arial"/>
          <w:b w:val="0"/>
          <w:i w:val="0"/>
          <w:color w:val="111827"/>
          <w:sz w:val="20"/>
          <w:vertAlign w:val="subscript"/>
        </w:rPr>
        <w:t>e,r</w:t>
      </w:r>
      <w:r>
        <w:rPr>
          <w:rFonts w:ascii="Arial" w:hAnsi="Arial" w:eastAsia="Arial" w:cs="Arial"/>
          <w:b w:val="0"/>
          <w:i w:val="0"/>
          <w:color w:val="111827"/>
          <w:sz w:val="20"/>
        </w:rPr>
        <w:t xml:space="preserve"> the demand:</w:t>
      </w:r>
    </w:p>
    <w:p>
      <w:pPr>
        <w:keepNext/>
        <w:widowControl/>
        <w:spacing w:before="40" w:after="0" w:line="240" w:lineRule="auto"/>
        <w:jc w:val="center"/>
      </w:pPr>
      <m:oMathPara>
        <m:oMathParaPr>
          <m:jc m:val="center"/>
        </m:oMathParaPr>
        <m:oMath>
          <m:func>
            <m:fName>
              <m:r>
                <m:rPr>
                  <m:sty m:val="p"/>
                </m:rPr>
                <w:rPr>
                  <w:rFonts w:ascii="Cambria Math" w:hAnsi="Cambria Math"/>
                  <w:sz w:val="21"/>
                </w:rPr>
                <m:t xml:space="preserve">max</m:t>
              </m:r>
            </m:fName>
            <m:e>
              <m:nary>
                <m:naryPr>
                  <m:chr m:val="∑"/>
                  <m:limLoc m:val="undOvr"/>
                  <m:supHide m:val="1"/>
                </m:naryPr>
                <m:sub>
                  <m:r>
                    <w:rPr>
                      <w:rFonts w:ascii="Cambria Math" w:hAnsi="Cambria Math"/>
                      <w:sz w:val="21"/>
                    </w:rPr>
                    <m:t xml:space="preserve">e</m:t>
                  </m:r>
                </m:sub>
                <m:sup/>
                <m:e>
                  <m:nary>
                    <m:naryPr>
                      <m:chr m:val="∑"/>
                      <m:limLoc m:val="undOvr"/>
                      <m:supHide m:val="1"/>
                    </m:naryPr>
                    <m:sub>
                      <m:r>
                        <w:rPr>
                          <w:rFonts w:ascii="Cambria Math" w:hAnsi="Cambria Math"/>
                          <w:sz w:val="21"/>
                        </w:rPr>
                        <m:t xml:space="preserve">r</m:t>
                      </m:r>
                    </m:sub>
                    <m:sup/>
                    <m:e>
                      <m:nary>
                        <m:naryPr>
                          <m:chr m:val="∑"/>
                          <m:limLoc m:val="undOvr"/>
                          <m:supHide m:val="1"/>
                        </m:naryPr>
                        <m:sub>
                          <m:r>
                            <w:rPr>
                              <w:rFonts w:ascii="Cambria Math" w:hAnsi="Cambria Math"/>
                              <w:sz w:val="21"/>
                            </w:rPr>
                            <m:t xml:space="preserve">w</m:t>
                          </m:r>
                        </m:sub>
                        <m:sup/>
                        <m:e>
                          <m:sSub>
                            <m:e>
                              <m:r>
                                <m:rPr>
                                  <m:sty m:val="p"/>
                                </m:rPr>
                                <w:rPr>
                                  <w:rFonts w:ascii="Cambria Math" w:hAnsi="Cambria Math"/>
                                  <w:sz w:val="21"/>
                                </w:rPr>
                                <m:t xml:space="preserve">GT</m:t>
                              </m:r>
                            </m:e>
                            <m:sub>
                              <m:r>
                                <w:rPr>
                                  <w:rFonts w:ascii="Cambria Math" w:hAnsi="Cambria Math"/>
                                  <w:sz w:val="21"/>
                                </w:rPr>
                                <m:t xml:space="preserve">e</m:t>
                              </m:r>
                            </m:sub>
                          </m:sSub>
                          <m:sSub>
                            <m:e>
                              <m:r>
                                <w:rPr>
                                  <w:rFonts w:ascii="Cambria Math" w:hAnsi="Cambria Math"/>
                                  <w:sz w:val="21"/>
                                </w:rPr>
                                <m:t xml:space="preserve">x</m:t>
                              </m:r>
                            </m:e>
                            <m:sub>
                              <m:r>
                                <w:rPr>
                                  <w:rFonts w:ascii="Cambria Math" w:hAnsi="Cambria Math"/>
                                  <w:sz w:val="21"/>
                                </w:rPr>
                                <m:t xml:space="preserve">e,r,w</m:t>
                              </m:r>
                            </m:sub>
                          </m:sSub>
                        </m:e>
                      </m:nary>
                    </m:e>
                  </m:nary>
                </m:e>
              </m:nary>
            </m:e>
          </m:func>
        </m:oMath>
      </m:oMathPara>
    </w:p>
    <w:p>
      <w:pPr>
        <w:keepNext/>
        <w:widowControl/>
        <w:spacing w:before="40" w:after="80" w:line="240" w:lineRule="auto"/>
        <w:jc w:val="center"/>
      </w:pPr>
      <m:oMathPara>
        <m:oMathParaPr>
          <m:jc m:val="center"/>
        </m:oMathParaPr>
        <m:oMath>
          <m:m>
            <m:mPr>
              <m:baseJc m:val="center"/>
              <m:cGpRule m:val="3"/>
              <m:cGp m:val="280"/>
              <m:mcs>
                <m:mc>
                  <m:mcPr>
                    <m:count m:val="4"/>
                    <m:mcJc m:val="left"/>
                  </m:mcPr>
                </m:mc>
              </m:mcs>
            </m:mPr>
            <m:mr>
              <m:e>
                <m:r>
                  <m:rPr>
                    <m:sty m:val="p"/>
                  </m:rPr>
                  <w:rPr>
                    <w:rFonts w:ascii="Cambria Math" w:hAnsi="Cambria Math"/>
                    <w:sz w:val="21"/>
                  </w:rPr>
                  <m:t xml:space="preserve">subject to</m:t>
                </m:r>
              </m:e>
              <m:e>
                <m:nary>
                  <m:naryPr>
                    <m:chr m:val="∑"/>
                    <m:limLoc m:val="undOvr"/>
                    <m:supHide m:val="1"/>
                  </m:naryPr>
                  <m:sub>
                    <m:r>
                      <w:rPr>
                        <w:rFonts w:ascii="Cambria Math" w:hAnsi="Cambria Math"/>
                        <w:sz w:val="21"/>
                      </w:rPr>
                      <m:t xml:space="preserve">e</m:t>
                    </m:r>
                  </m:sub>
                  <m:sup/>
                  <m:e>
                    <m:sSub>
                      <m:e>
                        <m:r>
                          <w:rPr>
                            <w:rFonts w:ascii="Cambria Math" w:hAnsi="Cambria Math"/>
                            <w:sz w:val="21"/>
                          </w:rPr>
                          <m:t xml:space="preserve">x</m:t>
                        </m:r>
                      </m:e>
                      <m:sub>
                        <m:r>
                          <w:rPr>
                            <w:rFonts w:ascii="Cambria Math" w:hAnsi="Cambria Math"/>
                            <w:sz w:val="21"/>
                          </w:rPr>
                          <m:t xml:space="preserve">e,r,w</m:t>
                        </m:r>
                      </m:sub>
                    </m:sSub>
                  </m:e>
                </m:nary>
                <m:r>
                  <w:rPr>
                    <w:rFonts w:ascii="Cambria Math" w:hAnsi="Cambria Math"/>
                    <w:sz w:val="21"/>
                  </w:rPr>
                  <m:t xml:space="preserve"> ≤ </m:t>
                </m:r>
                <m:sSub>
                  <m:e>
                    <m:r>
                      <w:rPr>
                        <w:rFonts w:ascii="Cambria Math" w:hAnsi="Cambria Math"/>
                        <w:sz w:val="21"/>
                      </w:rPr>
                      <m:t xml:space="preserve">a</m:t>
                    </m:r>
                  </m:e>
                  <m:sub>
                    <m:r>
                      <w:rPr>
                        <w:rFonts w:ascii="Cambria Math" w:hAnsi="Cambria Math"/>
                        <w:sz w:val="21"/>
                      </w:rPr>
                      <m:t xml:space="preserve">w,r</m:t>
                    </m:r>
                  </m:sub>
                </m:sSub>
              </m:e>
              <m:e>
                <m:r>
                  <w:rPr>
                    <w:rFonts w:ascii="Cambria Math" w:hAnsi="Cambria Math"/>
                    <w:sz w:val="21"/>
                  </w:rPr>
                  <m:t xml:space="preserve">∀ w, r</m:t>
                </m:r>
              </m:e>
              <m:e>
                <m:r>
                  <m:rPr>
                    <m:sty m:val="p"/>
                  </m:rPr>
                  <w:rPr>
                    <w:rFonts w:ascii="Cambria Math" w:hAnsi="Cambria Math"/>
                    <w:sz w:val="21"/>
                  </w:rPr>
                  <m:t xml:space="preserve">(warehouse supply)</m:t>
                </m:r>
              </m:e>
            </m:mr>
            <m:mr>
              <m:e>
                <m:r>
                  <m:rPr>
                    <m:sty m:val="p"/>
                  </m:rPr>
                  <w:rPr>
                    <w:rFonts w:ascii="Cambria Math" w:hAnsi="Cambria Math"/>
                    <w:sz w:val="21"/>
                  </w:rPr>
                  <m:t xml:space="preserve"> </m:t>
                </m:r>
              </m:e>
              <m:e>
                <m:nary>
                  <m:naryPr>
                    <m:chr m:val="∑"/>
                    <m:limLoc m:val="undOvr"/>
                    <m:supHide m:val="1"/>
                  </m:naryPr>
                  <m:sub>
                    <m:r>
                      <w:rPr>
                        <w:rFonts w:ascii="Cambria Math" w:hAnsi="Cambria Math"/>
                        <w:sz w:val="21"/>
                      </w:rPr>
                      <m:t xml:space="preserve">w</m:t>
                    </m:r>
                  </m:sub>
                  <m:sup/>
                  <m:e>
                    <m:sSub>
                      <m:e>
                        <m:r>
                          <w:rPr>
                            <w:rFonts w:ascii="Cambria Math" w:hAnsi="Cambria Math"/>
                            <w:sz w:val="21"/>
                          </w:rPr>
                          <m:t xml:space="preserve">x</m:t>
                        </m:r>
                      </m:e>
                      <m:sub>
                        <m:r>
                          <w:rPr>
                            <w:rFonts w:ascii="Cambria Math" w:hAnsi="Cambria Math"/>
                            <w:sz w:val="21"/>
                          </w:rPr>
                          <m:t xml:space="preserve">e,r,w</m:t>
                        </m:r>
                      </m:sub>
                    </m:sSub>
                  </m:e>
                </m:nary>
                <m:r>
                  <w:rPr>
                    <w:rFonts w:ascii="Cambria Math" w:hAnsi="Cambria Math"/>
                    <w:sz w:val="21"/>
                  </w:rPr>
                  <m:t xml:space="preserve"> ≤ </m:t>
                </m:r>
                <m:sSub>
                  <m:e>
                    <m:r>
                      <w:rPr>
                        <w:rFonts w:ascii="Cambria Math" w:hAnsi="Cambria Math"/>
                        <w:sz w:val="21"/>
                      </w:rPr>
                      <m:t xml:space="preserve">d</m:t>
                    </m:r>
                  </m:e>
                  <m:sub>
                    <m:r>
                      <w:rPr>
                        <w:rFonts w:ascii="Cambria Math" w:hAnsi="Cambria Math"/>
                        <w:sz w:val="21"/>
                      </w:rPr>
                      <m:t xml:space="preserve">e,r</m:t>
                    </m:r>
                  </m:sub>
                </m:sSub>
              </m:e>
              <m:e>
                <m:r>
                  <w:rPr>
                    <w:rFonts w:ascii="Cambria Math" w:hAnsi="Cambria Math"/>
                    <w:sz w:val="21"/>
                  </w:rPr>
                  <m:t xml:space="preserve">∀ e, r</m:t>
                </m:r>
              </m:e>
              <m:e>
                <m:r>
                  <m:rPr>
                    <m:sty m:val="p"/>
                  </m:rPr>
                  <w:rPr>
                    <w:rFonts w:ascii="Cambria Math" w:hAnsi="Cambria Math"/>
                    <w:sz w:val="21"/>
                  </w:rPr>
                  <m:t xml:space="preserve">(emergency demand)</m:t>
                </m:r>
              </m:e>
            </m:mr>
            <m:mr>
              <m:e>
                <m:r>
                  <m:rPr>
                    <m:sty m:val="p"/>
                  </m:rPr>
                  <w:rPr>
                    <w:rFonts w:ascii="Cambria Math" w:hAnsi="Cambria Math"/>
                    <w:sz w:val="21"/>
                  </w:rPr>
                  <m:t xml:space="preserve"> </m:t>
                </m:r>
              </m:e>
              <m:e>
                <m:sSub>
                  <m:e>
                    <m:r>
                      <w:rPr>
                        <w:rFonts w:ascii="Cambria Math" w:hAnsi="Cambria Math"/>
                        <w:sz w:val="21"/>
                      </w:rPr>
                      <m:t xml:space="preserve">x</m:t>
                    </m:r>
                  </m:e>
                  <m:sub>
                    <m:r>
                      <w:rPr>
                        <w:rFonts w:ascii="Cambria Math" w:hAnsi="Cambria Math"/>
                        <w:sz w:val="21"/>
                      </w:rPr>
                      <m:t xml:space="preserve">e,r,w</m:t>
                    </m:r>
                  </m:sub>
                </m:sSub>
                <m:r>
                  <w:rPr>
                    <w:rFonts w:ascii="Cambria Math" w:hAnsi="Cambria Math"/>
                    <w:sz w:val="21"/>
                  </w:rPr>
                  <m:t xml:space="preserve"> ∈ </m:t>
                </m:r>
                <m:sSub>
                  <m:e>
                    <m:r>
                      <w:rPr>
                        <w:rFonts w:ascii="Cambria Math" w:hAnsi="Cambria Math"/>
                        <w:sz w:val="21"/>
                      </w:rPr>
                      <m:t xml:space="preserve">ℤ</m:t>
                    </m:r>
                  </m:e>
                  <m:sub>
                    <m:r>
                      <w:rPr>
                        <w:rFonts w:ascii="Cambria Math" w:hAnsi="Cambria Math"/>
                        <w:sz w:val="21"/>
                      </w:rPr>
                      <m:t xml:space="preserve">≥0</m:t>
                    </m:r>
                  </m:sub>
                </m:sSub>
              </m:e>
              <m:e>
                <m:r>
                  <w:rPr>
                    <w:rFonts w:ascii="Cambria Math" w:hAnsi="Cambria Math"/>
                    <w:sz w:val="21"/>
                  </w:rPr>
                  <m:t xml:space="preserve">∀ e, r, w</m:t>
                </m:r>
              </m:e>
              <m:e>
                <m:r>
                  <m:rPr>
                    <m:sty m:val="p"/>
                  </m:rPr>
                  <w:rPr>
                    <w:rFonts w:ascii="Cambria Math" w:hAnsi="Cambria Math"/>
                    <w:sz w:val="21"/>
                  </w:rPr>
                  <m:t xml:space="preserve">(integral, nonnegative)</m:t>
                </m:r>
              </m:e>
            </m:mr>
          </m:m>
        </m:oMath>
      </m:oMathPara>
    </w:p>
    <w:p>
      <w:pPr>
        <w:widowControl/>
        <w:spacing w:before="0" w:after="100" w:line="264" w:lineRule="auto"/>
      </w:pPr>
      <w:r>
        <w:rPr>
          <w:rFonts w:ascii="Arial" w:hAnsi="Arial" w:eastAsia="Arial" w:cs="Arial"/>
          <w:b w:val="0"/>
          <w:i w:val="0"/>
          <w:color w:val="111827"/>
          <w:sz w:val="20"/>
        </w:rPr>
        <w:t xml:space="preserve">Solved with HiGHS 1.12.0 via scipy.optimize.milp (SciPy 1.18.0), relative MIP gap 0 and a 60 s time limit. </w:t>
      </w:r>
      <w:r>
        <w:rPr>
          <w:rFonts w:ascii="Arial" w:hAnsi="Arial" w:eastAsia="Arial" w:cs="Arial"/>
          <w:b/>
          <w:i w:val="0"/>
          <w:color w:val="111827"/>
          <w:sz w:val="20"/>
        </w:rPr>
        <w:t>12,000 / 12,000 solutions were proven optimal, 12,000 / 12,000 matched an independently computed analytical optimum, and there were 0 failures.</w:t>
      </w:r>
    </w:p>
    <w:tbl>
      <w:tblPr>
        <w:tblW w:type="dxa" w:w="9893"/>
        <w:jc w:val="center"/>
        <w:tblBorders>
          <w:top w:val="single" w:sz="4" w:space="0" w:color="FDE68A"/>
          <w:left w:val="single" w:sz="4" w:space="0" w:color="FDE68A"/>
          <w:bottom w:val="single" w:sz="4" w:space="0" w:color="FDE68A"/>
          <w:right w:val="single" w:sz="4" w:space="0" w:color="FDE68A"/>
          <w:insideH w:val="single" w:sz="4" w:space="0" w:color="FDE68A"/>
          <w:insideV w:val="single" w:sz="4" w:space="0" w:color="FDE68A"/>
        </w:tblBorders>
        <w:tblLayout w:type="fixed"/>
        <w:tblCellMar>
          <w:top w:w="80" w:type="dxa"/>
          <w:left w:w="120" w:type="dxa"/>
          <w:bottom w:w="80" w:type="dxa"/>
          <w:right w:w="120" w:type="dxa"/>
        </w:tblCellMar>
        <w:tblLook w:firstColumn="1" w:firstRow="1" w:lastColumn="0" w:lastRow="0" w:noHBand="0" w:noVBand="1" w:val="04A0"/>
      </w:tblPr>
      <w:tblGrid>
        <w:gridCol w:w="9893"/>
      </w:tblGrid>
      <w:tr>
        <w:trPr>
          <w:cantSplit/>
        </w:trPr>
        <w:tc>
          <w:tcPr>
            <w:tcW w:type="dxa" w:w="9893"/>
            <w:shd w:val="clear" w:color="auto" w:fill="FEF9C3"/>
          </w:tcPr>
          <w:p>
            <w:pPr>
              <w:widowControl/>
              <w:spacing w:before="0" w:after="0" w:line="264" w:lineRule="auto"/>
            </w:pPr>
            <w:r>
              <w:rPr>
                <w:rFonts w:ascii="Arial" w:hAnsi="Arial" w:eastAsia="Arial" w:cs="Arial"/>
                <w:b/>
                <w:i w:val="0"/>
                <w:color w:val="0F172A"/>
                <w:sz w:val="20"/>
              </w:rPr>
              <w:t>Methodological caveat.</w:t>
            </w:r>
            <w:r>
              <w:rPr>
                <w:rFonts w:ascii="Arial" w:hAnsi="Arial" w:eastAsia="Arial" w:cs="Arial"/>
                <w:b w:val="0"/>
                <w:i w:val="0"/>
                <w:color w:val="0F172A"/>
                <w:sz w:val="20"/>
              </w:rPr>
              <w:t xml:space="preserve"> The current allocation model has no vehicle-capacity, travel-time, route, resource-compatibility or time-window constraints. Units of one resource type are interchangeable across warehouses, so the MILP optimum reduces to a closed-form bound on GT-critical demand fulfilment, where D</w:t>
            </w:r>
            <w:r>
              <w:rPr>
                <w:rFonts w:ascii="Arial" w:hAnsi="Arial" w:eastAsia="Arial" w:cs="Arial"/>
                <w:b w:val="0"/>
                <w:i w:val="0"/>
                <w:color w:val="0F172A"/>
                <w:sz w:val="20"/>
                <w:vertAlign w:val="subscript"/>
              </w:rPr>
              <w:t>r</w:t>
            </w:r>
            <w:r>
              <w:rPr>
                <w:rFonts w:ascii="Arial" w:hAnsi="Arial" w:eastAsia="Arial" w:cs="Arial"/>
                <w:b w:val="0"/>
                <w:i w:val="0"/>
                <w:color w:val="0F172A"/>
                <w:sz w:val="20"/>
                <w:vertAlign w:val="superscript"/>
              </w:rPr>
              <w:t>crit</w:t>
            </w:r>
            <w:r>
              <w:rPr>
                <w:rFonts w:ascii="Arial" w:hAnsi="Arial" w:eastAsia="Arial" w:cs="Arial"/>
                <w:b w:val="0"/>
                <w:i w:val="0"/>
                <w:color w:val="0F172A"/>
                <w:sz w:val="20"/>
              </w:rPr>
              <w:t xml:space="preserve"> is the GT-critical demand and A</w:t>
            </w:r>
            <w:r>
              <w:rPr>
                <w:rFonts w:ascii="Arial" w:hAnsi="Arial" w:eastAsia="Arial" w:cs="Arial"/>
                <w:b w:val="0"/>
                <w:i w:val="0"/>
                <w:color w:val="0F172A"/>
                <w:sz w:val="20"/>
                <w:vertAlign w:val="subscript"/>
              </w:rPr>
              <w:t>r</w:t>
            </w:r>
            <w:r>
              <w:rPr>
                <w:rFonts w:ascii="Arial" w:hAnsi="Arial" w:eastAsia="Arial" w:cs="Arial"/>
                <w:b w:val="0"/>
                <w:i w:val="0"/>
                <w:color w:val="0F172A"/>
                <w:sz w:val="20"/>
              </w:rPr>
              <w:t xml:space="preserve"> the total supply of type r:</w:t>
            </w:r>
          </w:p>
          <w:p>
            <w:pPr>
              <w:widowControl/>
              <w:spacing w:before="60" w:after="60" w:line="240" w:lineRule="auto"/>
              <w:jc w:val="center"/>
            </w:pPr>
            <m:oMathPara>
              <m:oMathParaPr>
                <m:jc m:val="center"/>
              </m:oMathParaPr>
              <m:oMath>
                <m:sSup>
                  <m:e>
                    <m:r>
                      <m:rPr>
                        <m:sty m:val="p"/>
                      </m:rPr>
                      <w:rPr>
                        <w:rFonts w:ascii="Cambria Math" w:hAnsi="Cambria Math"/>
                        <w:sz w:val="20"/>
                      </w:rPr>
                      <m:t xml:space="preserve">CDC</m:t>
                    </m:r>
                  </m:e>
                  <m:sup>
                    <m:r>
                      <w:rPr>
                        <w:rFonts w:ascii="Cambria Math" w:hAnsi="Cambria Math"/>
                        <w:sz w:val="20"/>
                      </w:rPr>
                      <m:t xml:space="preserve">*</m:t>
                    </m:r>
                  </m:sup>
                </m:sSup>
                <m:r>
                  <w:rPr>
                    <w:rFonts w:ascii="Cambria Math" w:hAnsi="Cambria Math"/>
                    <w:sz w:val="20"/>
                  </w:rPr>
                  <m:t xml:space="preserve"> = </m:t>
                </m:r>
                <m:f>
                  <m:num>
                    <m:nary>
                      <m:naryPr>
                        <m:chr m:val="∑"/>
                        <m:limLoc m:val="undOvr"/>
                        <m:supHide m:val="1"/>
                      </m:naryPr>
                      <m:sub>
                        <m:r>
                          <w:rPr>
                            <w:rFonts w:ascii="Cambria Math" w:hAnsi="Cambria Math"/>
                            <w:sz w:val="20"/>
                          </w:rPr>
                          <m:t xml:space="preserve">r</m:t>
                        </m:r>
                      </m:sub>
                      <m:sup/>
                      <m:e>
                        <m:func>
                          <m:fName>
                            <m:r>
                              <m:rPr>
                                <m:sty m:val="p"/>
                              </m:rPr>
                              <w:rPr>
                                <w:rFonts w:ascii="Cambria Math" w:hAnsi="Cambria Math"/>
                                <w:sz w:val="20"/>
                              </w:rPr>
                              <m:t xml:space="preserve">min</m:t>
                            </m:r>
                          </m:fName>
                          <m:e>
                            <m:d>
                              <m:dPr>
                                <m:begChr m:val="("/>
                                <m:endChr m:val=")"/>
                              </m:dPr>
                              <m:e>
                                <m:sSubSup>
                                  <m:e>
                                    <m:r>
                                      <w:rPr>
                                        <w:rFonts w:ascii="Cambria Math" w:hAnsi="Cambria Math"/>
                                        <w:sz w:val="20"/>
                                      </w:rPr>
                                      <m:t xml:space="preserve">D</m:t>
                                    </m:r>
                                  </m:e>
                                  <m:sub>
                                    <m:r>
                                      <w:rPr>
                                        <w:rFonts w:ascii="Cambria Math" w:hAnsi="Cambria Math"/>
                                        <w:sz w:val="20"/>
                                      </w:rPr>
                                      <m:t xml:space="preserve">r</m:t>
                                    </m:r>
                                  </m:sub>
                                  <m:sup>
                                    <m:r>
                                      <m:rPr>
                                        <m:sty m:val="p"/>
                                      </m:rPr>
                                      <w:rPr>
                                        <w:rFonts w:ascii="Cambria Math" w:hAnsi="Cambria Math"/>
                                        <w:sz w:val="20"/>
                                      </w:rPr>
                                      <m:t xml:space="preserve">crit</m:t>
                                    </m:r>
                                  </m:sup>
                                </m:sSubSup>
                                <m:r>
                                  <w:rPr>
                                    <w:rFonts w:ascii="Cambria Math" w:hAnsi="Cambria Math"/>
                                    <w:sz w:val="20"/>
                                  </w:rPr>
                                  <m:t xml:space="preserve">, </m:t>
                                </m:r>
                                <m:sSub>
                                  <m:e>
                                    <m:r>
                                      <w:rPr>
                                        <w:rFonts w:ascii="Cambria Math" w:hAnsi="Cambria Math"/>
                                        <w:sz w:val="20"/>
                                      </w:rPr>
                                      <m:t xml:space="preserve">A</m:t>
                                    </m:r>
                                  </m:e>
                                  <m:sub>
                                    <m:r>
                                      <w:rPr>
                                        <w:rFonts w:ascii="Cambria Math" w:hAnsi="Cambria Math"/>
                                        <w:sz w:val="20"/>
                                      </w:rPr>
                                      <m:t xml:space="preserve">r</m:t>
                                    </m:r>
                                  </m:sub>
                                </m:sSub>
                              </m:e>
                            </m:d>
                          </m:e>
                        </m:func>
                      </m:e>
                    </m:nary>
                  </m:num>
                  <m:den>
                    <m:nary>
                      <m:naryPr>
                        <m:chr m:val="∑"/>
                        <m:limLoc m:val="undOvr"/>
                        <m:supHide m:val="1"/>
                      </m:naryPr>
                      <m:sub>
                        <m:r>
                          <w:rPr>
                            <w:rFonts w:ascii="Cambria Math" w:hAnsi="Cambria Math"/>
                            <w:sz w:val="20"/>
                          </w:rPr>
                          <m:t xml:space="preserve">r</m:t>
                        </m:r>
                      </m:sub>
                      <m:sup/>
                      <m:e>
                        <m:sSubSup>
                          <m:e>
                            <m:r>
                              <w:rPr>
                                <w:rFonts w:ascii="Cambria Math" w:hAnsi="Cambria Math"/>
                                <w:sz w:val="20"/>
                              </w:rPr>
                              <m:t xml:space="preserve">D</m:t>
                            </m:r>
                          </m:e>
                          <m:sub>
                            <m:r>
                              <w:rPr>
                                <w:rFonts w:ascii="Cambria Math" w:hAnsi="Cambria Math"/>
                                <w:sz w:val="20"/>
                              </w:rPr>
                              <m:t xml:space="preserve">r</m:t>
                            </m:r>
                          </m:sub>
                          <m:sup>
                            <m:r>
                              <m:rPr>
                                <m:sty m:val="p"/>
                              </m:rPr>
                              <w:rPr>
                                <w:rFonts w:ascii="Cambria Math" w:hAnsi="Cambria Math"/>
                                <w:sz w:val="20"/>
                              </w:rPr>
                              <m:t xml:space="preserve">crit</m:t>
                            </m:r>
                          </m:sup>
                        </m:sSubSup>
                      </m:e>
                    </m:nary>
                  </m:den>
                </m:f>
              </m:oMath>
            </m:oMathPara>
          </w:p>
          <w:p>
            <w:pPr>
              <w:widowControl/>
              <w:spacing w:before="0" w:after="0" w:line="264" w:lineRule="auto"/>
            </w:pPr>
            <w:r>
              <w:rPr>
                <w:rFonts w:ascii="Arial" w:hAnsi="Arial" w:eastAsia="Arial" w:cs="Arial"/>
                <w:b w:val="0"/>
                <w:i w:val="0"/>
                <w:color w:val="0F172A"/>
                <w:sz w:val="20"/>
              </w:rPr>
              <w:t>The MILP therefore serves as an optimization benchmark / verification oracle for this formulation; it is not presented as a hard combinatorial problem or a difficult real-world optimization baseline.</w:t>
            </w:r>
          </w:p>
        </w:tc>
      </w:tr>
    </w:tbl>
    <w:p>
      <w:pPr>
        <w:keepNext/>
        <w:widowControl/>
        <w:spacing w:before="140" w:after="0" w:line="264" w:lineRule="auto"/>
      </w:pPr>
      <w:r>
        <w:rPr>
          <w:rFonts w:ascii="Arial" w:hAnsi="Arial" w:eastAsia="Arial" w:cs="Arial"/>
          <w:b w:val="0"/>
          <w:i w:val="0"/>
          <w:color w:val="111827"/>
          <w:sz w:val="20"/>
        </w:rPr>
        <w:t>AASHRAY's optimality gap is normalized by the MILP optimum:</w:t>
      </w:r>
    </w:p>
    <w:p>
      <w:pPr>
        <w:keepNext/>
        <w:widowControl/>
        <w:spacing w:before="40" w:after="80" w:line="240" w:lineRule="auto"/>
        <w:jc w:val="center"/>
      </w:pPr>
      <m:oMathPara>
        <m:oMathParaPr>
          <m:jc m:val="center"/>
        </m:oMathParaPr>
        <m:oMath>
          <m:sSub>
            <m:e>
              <m:r>
                <m:rPr>
                  <m:sty m:val="p"/>
                </m:rPr>
                <w:rPr>
                  <w:rFonts w:ascii="Cambria Math" w:hAnsi="Cambria Math"/>
                  <w:sz w:val="21"/>
                </w:rPr>
                <m:t xml:space="preserve">gap</m:t>
              </m:r>
            </m:e>
            <m:sub>
              <m:r>
                <w:rPr>
                  <w:rFonts w:ascii="Cambria Math" w:hAnsi="Cambria Math"/>
                  <w:sz w:val="21"/>
                </w:rPr>
                <m:t xml:space="preserve">i</m:t>
              </m:r>
            </m:sub>
          </m:sSub>
          <m:r>
            <w:rPr>
              <w:rFonts w:ascii="Cambria Math" w:hAnsi="Cambria Math"/>
              <w:sz w:val="21"/>
            </w:rPr>
            <m:t xml:space="preserve"> = </m:t>
          </m:r>
          <m:f>
            <m:num>
              <m:sSub>
                <m:e>
                  <m:r>
                    <m:rPr>
                      <m:sty m:val="p"/>
                    </m:rPr>
                    <w:rPr>
                      <w:rFonts w:ascii="Cambria Math" w:hAnsi="Cambria Math"/>
                      <w:sz w:val="21"/>
                    </w:rPr>
                    <m:t xml:space="preserve">CDC</m:t>
                  </m:r>
                </m:e>
                <m:sub>
                  <m:r>
                    <m:rPr>
                      <m:sty m:val="p"/>
                    </m:rPr>
                    <w:rPr>
                      <w:rFonts w:ascii="Cambria Math" w:hAnsi="Cambria Math"/>
                      <w:sz w:val="21"/>
                    </w:rPr>
                    <m:t xml:space="preserve">MILP,</m:t>
                  </m:r>
                  <m:r>
                    <w:rPr>
                      <w:rFonts w:ascii="Cambria Math" w:hAnsi="Cambria Math"/>
                      <w:sz w:val="21"/>
                    </w:rPr>
                    <m:t xml:space="preserve">i</m:t>
                  </m:r>
                </m:sub>
              </m:sSub>
              <m:r>
                <w:rPr>
                  <w:rFonts w:ascii="Cambria Math" w:hAnsi="Cambria Math"/>
                  <w:sz w:val="21"/>
                </w:rPr>
                <m:t xml:space="preserve"> − </m:t>
              </m:r>
              <m:sSub>
                <m:e>
                  <m:r>
                    <m:rPr>
                      <m:sty m:val="p"/>
                    </m:rPr>
                    <w:rPr>
                      <w:rFonts w:ascii="Cambria Math" w:hAnsi="Cambria Math"/>
                      <w:sz w:val="21"/>
                    </w:rPr>
                    <m:t xml:space="preserve">CDC</m:t>
                  </m:r>
                </m:e>
                <m:sub>
                  <m:r>
                    <m:rPr>
                      <m:sty m:val="p"/>
                    </m:rPr>
                    <w:rPr>
                      <w:rFonts w:ascii="Cambria Math" w:hAnsi="Cambria Math"/>
                      <w:sz w:val="21"/>
                    </w:rPr>
                    <m:t xml:space="preserve">AASHRAY,</m:t>
                  </m:r>
                  <m:r>
                    <w:rPr>
                      <w:rFonts w:ascii="Cambria Math" w:hAnsi="Cambria Math"/>
                      <w:sz w:val="21"/>
                    </w:rPr>
                    <m:t xml:space="preserve">i</m:t>
                  </m:r>
                </m:sub>
              </m:sSub>
            </m:num>
            <m:den>
              <m:sSub>
                <m:e>
                  <m:r>
                    <m:rPr>
                      <m:sty m:val="p"/>
                    </m:rPr>
                    <w:rPr>
                      <w:rFonts w:ascii="Cambria Math" w:hAnsi="Cambria Math"/>
                      <w:sz w:val="21"/>
                    </w:rPr>
                    <m:t xml:space="preserve">CDC</m:t>
                  </m:r>
                </m:e>
                <m:sub>
                  <m:r>
                    <m:rPr>
                      <m:sty m:val="p"/>
                    </m:rPr>
                    <w:rPr>
                      <w:rFonts w:ascii="Cambria Math" w:hAnsi="Cambria Math"/>
                      <w:sz w:val="21"/>
                    </w:rPr>
                    <m:t xml:space="preserve">MILP,</m:t>
                  </m:r>
                  <m:r>
                    <w:rPr>
                      <w:rFonts w:ascii="Cambria Math" w:hAnsi="Cambria Math"/>
                      <w:sz w:val="21"/>
                    </w:rPr>
                    <m:t xml:space="preserve">i</m:t>
                  </m:r>
                </m:sub>
              </m:sSub>
            </m:den>
          </m:f>
          <m:r>
            <m:rPr>
              <m:sty m:val="p"/>
            </m:rPr>
            <w:rPr>
              <w:rFonts w:ascii="Cambria Math" w:hAnsi="Cambria Math"/>
              <w:sz w:val="21"/>
            </w:rPr>
            <m:t xml:space="preserve">,    with </m:t>
          </m:r>
          <m:sSub>
            <m:e>
              <m:r>
                <m:rPr>
                  <m:sty m:val="p"/>
                </m:rPr>
                <w:rPr>
                  <w:rFonts w:ascii="Cambria Math" w:hAnsi="Cambria Math"/>
                  <w:sz w:val="21"/>
                </w:rPr>
                <m:t xml:space="preserve">gap</m:t>
              </m:r>
            </m:e>
            <m:sub>
              <m:r>
                <w:rPr>
                  <w:rFonts w:ascii="Cambria Math" w:hAnsi="Cambria Math"/>
                  <w:sz w:val="21"/>
                </w:rPr>
                <m:t xml:space="preserve">i</m:t>
              </m:r>
            </m:sub>
          </m:sSub>
          <m:r>
            <w:rPr>
              <w:rFonts w:ascii="Cambria Math" w:hAnsi="Cambria Math"/>
              <w:sz w:val="21"/>
            </w:rPr>
            <m:t xml:space="preserve"> = 0</m:t>
          </m:r>
          <m:r>
            <m:rPr>
              <m:sty m:val="p"/>
            </m:rPr>
            <w:rPr>
              <w:rFonts w:ascii="Cambria Math" w:hAnsi="Cambria Math"/>
              <w:sz w:val="21"/>
            </w:rPr>
            <m:t xml:space="preserve">  if  </m:t>
          </m:r>
          <m:sSub>
            <m:e>
              <m:r>
                <m:rPr>
                  <m:sty m:val="p"/>
                </m:rPr>
                <w:rPr>
                  <w:rFonts w:ascii="Cambria Math" w:hAnsi="Cambria Math"/>
                  <w:sz w:val="21"/>
                </w:rPr>
                <m:t xml:space="preserve">CDC</m:t>
              </m:r>
            </m:e>
            <m:sub>
              <m:r>
                <m:rPr>
                  <m:sty m:val="p"/>
                </m:rPr>
                <w:rPr>
                  <w:rFonts w:ascii="Cambria Math" w:hAnsi="Cambria Math"/>
                  <w:sz w:val="21"/>
                </w:rPr>
                <m:t xml:space="preserve">MILP,</m:t>
              </m:r>
              <m:r>
                <w:rPr>
                  <w:rFonts w:ascii="Cambria Math" w:hAnsi="Cambria Math"/>
                  <w:sz w:val="21"/>
                </w:rPr>
                <m:t xml:space="preserve">i</m:t>
              </m:r>
            </m:sub>
          </m:sSub>
          <m:r>
            <w:rPr>
              <w:rFonts w:ascii="Cambria Math" w:hAnsi="Cambria Math"/>
              <w:sz w:val="21"/>
            </w:rPr>
            <m:t xml:space="preserve"> = 0</m:t>
          </m:r>
        </m:oMath>
      </m:oMathPara>
    </w:p>
    <w:p>
      <w:pPr>
        <w:widowControl/>
        <w:spacing w:before="0" w:after="100" w:line="264" w:lineRule="auto"/>
      </w:pPr>
      <w:r>
        <w:rPr>
          <w:rFonts w:ascii="Arial" w:hAnsi="Arial" w:eastAsia="Arial" w:cs="Arial"/>
          <w:b w:val="0"/>
          <w:i w:val="0"/>
          <w:color w:val="111827"/>
          <w:sz w:val="20"/>
        </w:rPr>
        <w:t>The edge case CDC</w:t>
      </w:r>
      <w:r>
        <w:rPr>
          <w:rFonts w:ascii="Arial" w:hAnsi="Arial" w:eastAsia="Arial" w:cs="Arial"/>
          <w:b w:val="0"/>
          <w:i w:val="0"/>
          <w:color w:val="111827"/>
          <w:sz w:val="20"/>
          <w:vertAlign w:val="subscript"/>
        </w:rPr>
        <w:t>MILP</w:t>
      </w:r>
      <w:r>
        <w:rPr>
          <w:rFonts w:ascii="Arial" w:hAnsi="Arial" w:eastAsia="Arial" w:cs="Arial"/>
          <w:b w:val="0"/>
          <w:i w:val="0"/>
          <w:color w:val="111827"/>
          <w:sz w:val="20"/>
        </w:rPr>
        <w:t xml:space="preserve"> = 0 did not occur (0 scenarios): every scenario contains a GT-critical emergency and the lowest MILP CDC was 0.3008. A scenario counts as an exact optimum when the two CDC values differ by at most 10</w:t>
      </w:r>
      <w:r>
        <w:rPr>
          <w:rFonts w:ascii="Arial" w:hAnsi="Arial" w:eastAsia="Arial" w:cs="Arial"/>
          <w:b w:val="0"/>
          <w:i w:val="0"/>
          <w:color w:val="111827"/>
          <w:sz w:val="20"/>
          <w:vertAlign w:val="superscript"/>
        </w:rPr>
        <w:t>−9</w:t>
      </w:r>
      <w:r>
        <w:rPr>
          <w:rFonts w:ascii="Arial" w:hAnsi="Arial" w:eastAsia="Arial" w:cs="Arial"/>
          <w:b w:val="0"/>
          <w:i w:val="0"/>
          <w:color w:val="111827"/>
          <w:sz w:val="20"/>
        </w:rPr>
        <w:t>. No significance test is run between AASHRAY and MILP, because the MILP is the benchmark.</w:t>
      </w:r>
    </w:p>
    <w:p>
      <w:pPr>
        <w:keepNext/>
        <w:widowControl/>
        <w:spacing w:before="120" w:after="0" w:line="240" w:lineRule="auto"/>
        <w:jc w:val="center"/>
      </w:pPr>
      <w:r>
        <w:drawing>
          <wp:inline xmlns:a="http://schemas.openxmlformats.org/drawingml/2006/main" xmlns:pic="http://schemas.openxmlformats.org/drawingml/2006/picture">
            <wp:extent cx="5149734" cy="2261061"/>
            <wp:docPr id="6" name="Picture 6"/>
            <wp:cNvGraphicFramePr>
              <a:graphicFrameLocks noChangeAspect="1"/>
            </wp:cNvGraphicFramePr>
            <a:graphic>
              <a:graphicData uri="http://schemas.openxmlformats.org/drawingml/2006/picture">
                <pic:pic>
                  <pic:nvPicPr>
                    <pic:cNvPr id="0" name="fig06_gap_distribution.png"/>
                    <pic:cNvPicPr/>
                  </pic:nvPicPr>
                  <pic:blipFill>
                    <a:blip r:embed="rId17"/>
                    <a:stretch>
                      <a:fillRect/>
                    </a:stretch>
                  </pic:blipFill>
                  <pic:spPr>
                    <a:xfrm>
                      <a:off x="0" y="0"/>
                      <a:ext cx="5149734" cy="2261061"/>
                    </a:xfrm>
                    <a:prstGeom prst="rect"/>
                  </pic:spPr>
                </pic:pic>
              </a:graphicData>
            </a:graphic>
          </wp:inline>
        </w:drawing>
      </w:r>
    </w:p>
    <w:p>
      <w:pPr>
        <w:widowControl/>
        <w:spacing w:before="60" w:after="160" w:line="240" w:lineRule="auto"/>
        <w:jc w:val="center"/>
      </w:pPr>
      <w:r>
        <w:rPr>
          <w:rFonts w:ascii="Arial" w:hAnsi="Arial" w:eastAsia="Arial" w:cs="Arial"/>
          <w:b w:val="0"/>
          <w:i/>
          <w:color w:val="64748B"/>
          <w:sz w:val="17"/>
        </w:rPr>
        <w:t>Figure 6. Distribution of AASHRAY's optimality gap relative to the MILP benchmark.</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2736"/>
        <w:gridCol w:w="1872"/>
        <w:gridCol w:w="2736"/>
        <w:gridCol w:w="2549"/>
      </w:tblGrid>
      <w:tr>
        <w:trPr>
          <w:cantSplit/>
          <w:tblHeader/>
        </w:trPr>
        <w:tc>
          <w:tcPr>
            <w:tcW w:type="dxa" w:w="2736"/>
            <w:shd w:val="clear" w:color="auto" w:fill="0F172A"/>
            <w:vAlign w:val="center"/>
          </w:tcPr>
          <w:p>
            <w:pPr>
              <w:keepNext/>
              <w:widowControl/>
              <w:spacing w:before="0" w:after="0" w:line="240" w:lineRule="auto"/>
              <w:jc w:val="left"/>
            </w:pPr>
            <w:r>
              <w:rPr>
                <w:rFonts w:ascii="Arial" w:hAnsi="Arial" w:eastAsia="Arial" w:cs="Arial"/>
                <w:b/>
                <w:i w:val="0"/>
                <w:color w:val="FFFFFF"/>
                <w:sz w:val="18"/>
              </w:rPr>
              <w:t>Gap statistic</w:t>
            </w:r>
          </w:p>
        </w:tc>
        <w:tc>
          <w:tcPr>
            <w:tcW w:type="dxa" w:w="1872"/>
            <w:shd w:val="clear" w:color="auto" w:fill="0F172A"/>
            <w:vAlign w:val="center"/>
          </w:tcPr>
          <w:p>
            <w:pPr>
              <w:keepNext/>
              <w:widowControl/>
              <w:spacing w:before="0" w:after="0" w:line="240" w:lineRule="auto"/>
              <w:jc w:val="center"/>
            </w:pPr>
            <w:r>
              <w:rPr>
                <w:rFonts w:ascii="Arial" w:hAnsi="Arial" w:eastAsia="Arial" w:cs="Arial"/>
                <w:b/>
                <w:i w:val="0"/>
                <w:color w:val="FFFFFF"/>
                <w:sz w:val="18"/>
              </w:rPr>
              <w:t>Value</w:t>
            </w:r>
          </w:p>
        </w:tc>
        <w:tc>
          <w:tcPr>
            <w:tcW w:type="dxa" w:w="2736"/>
            <w:shd w:val="clear" w:color="auto" w:fill="0F172A"/>
            <w:vAlign w:val="center"/>
          </w:tcPr>
          <w:p>
            <w:pPr>
              <w:keepNext/>
              <w:widowControl/>
              <w:spacing w:before="0" w:after="0" w:line="240" w:lineRule="auto"/>
              <w:jc w:val="left"/>
            </w:pPr>
            <w:r>
              <w:rPr>
                <w:rFonts w:ascii="Arial" w:hAnsi="Arial" w:eastAsia="Arial" w:cs="Arial"/>
                <w:b/>
                <w:i w:val="0"/>
                <w:color w:val="FFFFFF"/>
                <w:sz w:val="18"/>
              </w:rPr>
              <w:t>Rate (n = 12,000)</w:t>
            </w:r>
          </w:p>
        </w:tc>
        <w:tc>
          <w:tcPr>
            <w:tcW w:type="dxa" w:w="2549"/>
            <w:shd w:val="clear" w:color="auto" w:fill="0F172A"/>
            <w:vAlign w:val="center"/>
          </w:tcPr>
          <w:p>
            <w:pPr>
              <w:keepNext/>
              <w:widowControl/>
              <w:spacing w:before="0" w:after="0" w:line="240" w:lineRule="auto"/>
              <w:jc w:val="center"/>
            </w:pPr>
            <w:r>
              <w:rPr>
                <w:rFonts w:ascii="Arial" w:hAnsi="Arial" w:eastAsia="Arial" w:cs="Arial"/>
                <w:b/>
                <w:i w:val="0"/>
                <w:color w:val="FFFFFF"/>
                <w:sz w:val="18"/>
              </w:rPr>
              <w:t>Share (count)</w:t>
            </w:r>
          </w:p>
        </w:tc>
      </w:tr>
      <w:tr>
        <w:trPr>
          <w:cantSplit/>
        </w:trPr>
        <w:tc>
          <w:tcPr>
            <w:tcW w:type="dxa" w:w="2736"/>
            <w:shd w:val="clear" w:color="auto" w:fill="FFFFFF"/>
            <w:vAlign w:val="center"/>
          </w:tcPr>
          <w:p>
            <w:pPr>
              <w:keepNext/>
              <w:widowControl/>
              <w:spacing w:before="0" w:after="0" w:line="240" w:lineRule="auto"/>
              <w:jc w:val="left"/>
            </w:pPr>
            <w:r>
              <w:rPr>
                <w:rFonts w:ascii="Arial" w:hAnsi="Arial" w:eastAsia="Arial" w:cs="Arial"/>
                <w:b/>
                <w:i w:val="0"/>
                <w:color w:val="111827"/>
                <w:sz w:val="18"/>
              </w:rPr>
              <w:t>Mean relative gap</w:t>
            </w:r>
          </w:p>
        </w:tc>
        <w:tc>
          <w:tcPr>
            <w:tcW w:type="dxa" w:w="187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0.0350</w:t>
            </w:r>
          </w:p>
        </w:tc>
        <w:tc>
          <w:tcPr>
            <w:tcW w:type="dxa" w:w="2736"/>
            <w:shd w:val="clear" w:color="auto" w:fill="FFFFFF"/>
            <w:vAlign w:val="center"/>
          </w:tcPr>
          <w:p>
            <w:pPr>
              <w:keepNext/>
              <w:widowControl/>
              <w:spacing w:before="0" w:after="0" w:line="240" w:lineRule="auto"/>
              <w:jc w:val="left"/>
            </w:pPr>
            <w:r>
              <w:rPr>
                <w:rFonts w:ascii="Arial" w:hAnsi="Arial" w:eastAsia="Arial" w:cs="Arial"/>
                <w:b w:val="0"/>
                <w:i w:val="0"/>
                <w:color w:val="111827"/>
                <w:sz w:val="18"/>
              </w:rPr>
              <w:t>Exact optimum</w:t>
            </w:r>
          </w:p>
        </w:tc>
        <w:tc>
          <w:tcPr>
            <w:tcW w:type="dxa" w:w="2549"/>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86.66% (10,399)</w:t>
            </w:r>
          </w:p>
        </w:tc>
      </w:tr>
      <w:tr>
        <w:trPr>
          <w:cantSplit/>
        </w:trPr>
        <w:tc>
          <w:tcPr>
            <w:tcW w:type="dxa" w:w="2736"/>
            <w:shd w:val="clear" w:color="auto" w:fill="F8FAFC"/>
            <w:vAlign w:val="center"/>
          </w:tcPr>
          <w:p>
            <w:pPr>
              <w:keepNext/>
              <w:widowControl/>
              <w:spacing w:before="0" w:after="0" w:line="240" w:lineRule="auto"/>
              <w:jc w:val="left"/>
            </w:pPr>
            <w:r>
              <w:rPr>
                <w:rFonts w:ascii="Arial" w:hAnsi="Arial" w:eastAsia="Arial" w:cs="Arial"/>
                <w:b/>
                <w:i w:val="0"/>
                <w:color w:val="111827"/>
                <w:sz w:val="18"/>
              </w:rPr>
              <w:t>Median gap</w:t>
            </w:r>
          </w:p>
        </w:tc>
        <w:tc>
          <w:tcPr>
            <w:tcW w:type="dxa" w:w="1872"/>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0.0000</w:t>
            </w:r>
          </w:p>
        </w:tc>
        <w:tc>
          <w:tcPr>
            <w:tcW w:type="dxa" w:w="2736"/>
            <w:shd w:val="clear" w:color="auto" w:fill="F8FAFC"/>
            <w:vAlign w:val="center"/>
          </w:tcPr>
          <w:p>
            <w:pPr>
              <w:keepNext/>
              <w:widowControl/>
              <w:spacing w:before="0" w:after="0" w:line="240" w:lineRule="auto"/>
              <w:jc w:val="left"/>
            </w:pPr>
            <w:r>
              <w:rPr>
                <w:rFonts w:ascii="Arial" w:hAnsi="Arial" w:eastAsia="Arial" w:cs="Arial"/>
                <w:b w:val="0"/>
                <w:i w:val="0"/>
                <w:color w:val="111827"/>
                <w:sz w:val="18"/>
              </w:rPr>
              <w:t>Within 1%</w:t>
            </w:r>
          </w:p>
        </w:tc>
        <w:tc>
          <w:tcPr>
            <w:tcW w:type="dxa" w:w="2549"/>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88.41% (10,609)</w:t>
            </w:r>
          </w:p>
        </w:tc>
      </w:tr>
      <w:tr>
        <w:trPr>
          <w:cantSplit/>
        </w:trPr>
        <w:tc>
          <w:tcPr>
            <w:tcW w:type="dxa" w:w="2736"/>
            <w:shd w:val="clear" w:color="auto" w:fill="FFFFFF"/>
            <w:vAlign w:val="center"/>
          </w:tcPr>
          <w:p>
            <w:pPr>
              <w:keepNext/>
              <w:widowControl/>
              <w:spacing w:before="0" w:after="0" w:line="240" w:lineRule="auto"/>
              <w:jc w:val="left"/>
            </w:pPr>
            <w:r>
              <w:rPr>
                <w:rFonts w:ascii="Arial" w:hAnsi="Arial" w:eastAsia="Arial" w:cs="Arial"/>
                <w:b/>
                <w:i w:val="0"/>
                <w:color w:val="111827"/>
                <w:sz w:val="18"/>
              </w:rPr>
              <w:t>P95 gap</w:t>
            </w:r>
          </w:p>
        </w:tc>
        <w:tc>
          <w:tcPr>
            <w:tcW w:type="dxa" w:w="187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0.2441</w:t>
            </w:r>
          </w:p>
        </w:tc>
        <w:tc>
          <w:tcPr>
            <w:tcW w:type="dxa" w:w="2736"/>
            <w:shd w:val="clear" w:color="auto" w:fill="FFFFFF"/>
            <w:vAlign w:val="center"/>
          </w:tcPr>
          <w:p>
            <w:pPr>
              <w:keepNext/>
              <w:widowControl/>
              <w:spacing w:before="0" w:after="0" w:line="240" w:lineRule="auto"/>
              <w:jc w:val="left"/>
            </w:pPr>
            <w:r>
              <w:rPr>
                <w:rFonts w:ascii="Arial" w:hAnsi="Arial" w:eastAsia="Arial" w:cs="Arial"/>
                <w:b w:val="0"/>
                <w:i w:val="0"/>
                <w:color w:val="111827"/>
                <w:sz w:val="18"/>
              </w:rPr>
              <w:t>Within 5%</w:t>
            </w:r>
          </w:p>
        </w:tc>
        <w:tc>
          <w:tcPr>
            <w:tcW w:type="dxa" w:w="2549"/>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90.05% (10,806)</w:t>
            </w:r>
          </w:p>
        </w:tc>
      </w:tr>
      <w:tr>
        <w:trPr>
          <w:cantSplit/>
        </w:trPr>
        <w:tc>
          <w:tcPr>
            <w:tcW w:type="dxa" w:w="2736"/>
            <w:shd w:val="clear" w:color="auto" w:fill="F8FAFC"/>
            <w:vAlign w:val="center"/>
          </w:tcPr>
          <w:p>
            <w:pPr>
              <w:keepNext/>
              <w:widowControl/>
              <w:spacing w:before="0" w:after="0" w:line="240" w:lineRule="auto"/>
              <w:jc w:val="left"/>
            </w:pPr>
            <w:r>
              <w:rPr>
                <w:rFonts w:ascii="Arial" w:hAnsi="Arial" w:eastAsia="Arial" w:cs="Arial"/>
                <w:b/>
                <w:i w:val="0"/>
                <w:color w:val="111827"/>
                <w:sz w:val="18"/>
              </w:rPr>
              <w:t>P99 gap</w:t>
            </w:r>
          </w:p>
        </w:tc>
        <w:tc>
          <w:tcPr>
            <w:tcW w:type="dxa" w:w="1872"/>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0.8426</w:t>
            </w:r>
          </w:p>
        </w:tc>
        <w:tc>
          <w:tcPr>
            <w:tcW w:type="dxa" w:w="2736"/>
            <w:shd w:val="clear" w:color="auto" w:fill="F8FAFC"/>
            <w:vAlign w:val="center"/>
          </w:tcPr>
          <w:p>
            <w:pPr>
              <w:keepNext/>
              <w:widowControl/>
              <w:spacing w:before="0" w:after="0" w:line="240" w:lineRule="auto"/>
              <w:jc w:val="left"/>
            </w:pPr>
            <w:r>
              <w:rPr>
                <w:rFonts w:ascii="Arial" w:hAnsi="Arial" w:eastAsia="Arial" w:cs="Arial"/>
                <w:b w:val="0"/>
                <w:i w:val="0"/>
                <w:color w:val="111827"/>
                <w:sz w:val="18"/>
              </w:rPr>
              <w:t>Within 10%</w:t>
            </w:r>
          </w:p>
        </w:tc>
        <w:tc>
          <w:tcPr>
            <w:tcW w:type="dxa" w:w="2549"/>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91.50% (10,980)</w:t>
            </w:r>
          </w:p>
        </w:tc>
      </w:tr>
      <w:tr>
        <w:trPr>
          <w:cantSplit/>
        </w:trPr>
        <w:tc>
          <w:tcPr>
            <w:tcW w:type="dxa" w:w="2736"/>
            <w:shd w:val="clear" w:color="auto" w:fill="FFFFFF"/>
            <w:vAlign w:val="center"/>
          </w:tcPr>
          <w:p>
            <w:pPr>
              <w:widowControl/>
              <w:spacing w:before="0" w:after="0" w:line="240" w:lineRule="auto"/>
              <w:jc w:val="left"/>
            </w:pPr>
            <w:r>
              <w:rPr>
                <w:rFonts w:ascii="Arial" w:hAnsi="Arial" w:eastAsia="Arial" w:cs="Arial"/>
                <w:b/>
                <w:i w:val="0"/>
                <w:color w:val="111827"/>
                <w:sz w:val="18"/>
              </w:rPr>
              <w:t>Maximum gap</w:t>
            </w:r>
          </w:p>
        </w:tc>
        <w:tc>
          <w:tcPr>
            <w:tcW w:type="dxa" w:w="1872"/>
            <w:shd w:val="clear" w:color="auto" w:fill="FFFFFF"/>
            <w:vAlign w:val="center"/>
          </w:tcPr>
          <w:p>
            <w:pPr>
              <w:widowControl/>
              <w:spacing w:before="0" w:after="0" w:line="240" w:lineRule="auto"/>
              <w:jc w:val="center"/>
            </w:pPr>
            <w:r>
              <w:rPr>
                <w:rFonts w:ascii="Arial" w:hAnsi="Arial" w:eastAsia="Arial" w:cs="Arial"/>
                <w:b w:val="0"/>
                <w:i w:val="0"/>
                <w:color w:val="111827"/>
                <w:sz w:val="18"/>
              </w:rPr>
              <w:t>1.0000</w:t>
            </w:r>
          </w:p>
        </w:tc>
        <w:tc>
          <w:tcPr>
            <w:tcW w:type="dxa" w:w="2736"/>
            <w:shd w:val="clear" w:color="auto" w:fill="FFFFFF"/>
            <w:vAlign w:val="center"/>
          </w:tcPr>
          <w:p>
            <w:pPr>
              <w:widowControl/>
              <w:spacing w:before="0" w:after="0" w:line="240" w:lineRule="auto"/>
              <w:jc w:val="left"/>
            </w:pPr>
            <w:r>
              <w:rPr>
                <w:rFonts w:ascii="Arial" w:hAnsi="Arial" w:eastAsia="Arial" w:cs="Arial"/>
                <w:b w:val="0"/>
                <w:i w:val="0"/>
                <w:color w:val="111827"/>
                <w:sz w:val="18"/>
              </w:rPr>
              <w:t>Gap &gt; 0</w:t>
            </w:r>
          </w:p>
        </w:tc>
        <w:tc>
          <w:tcPr>
            <w:tcW w:type="dxa" w:w="2549"/>
            <w:shd w:val="clear" w:color="auto" w:fill="FFFFFF"/>
            <w:vAlign w:val="center"/>
          </w:tcPr>
          <w:p>
            <w:pPr>
              <w:widowControl/>
              <w:spacing w:before="0" w:after="0" w:line="240" w:lineRule="auto"/>
              <w:jc w:val="center"/>
            </w:pPr>
            <w:r>
              <w:rPr>
                <w:rFonts w:ascii="Arial" w:hAnsi="Arial" w:eastAsia="Arial" w:cs="Arial"/>
                <w:b w:val="0"/>
                <w:i w:val="0"/>
                <w:color w:val="111827"/>
                <w:sz w:val="18"/>
              </w:rPr>
              <w:t>13.34% (1,601)</w:t>
            </w:r>
          </w:p>
        </w:tc>
      </w:tr>
    </w:tbl>
    <w:p>
      <w:pPr>
        <w:widowControl/>
        <w:spacing w:before="120" w:after="100" w:line="264" w:lineRule="auto"/>
      </w:pPr>
      <w:r>
        <w:rPr>
          <w:rFonts w:ascii="Arial" w:hAnsi="Arial" w:eastAsia="Arial" w:cs="Arial"/>
          <w:b w:val="0"/>
          <w:i w:val="0"/>
          <w:color w:val="111827"/>
          <w:sz w:val="20"/>
        </w:rPr>
        <w:t>AASHRAY reaches the exact MILP optimum in 10,399 scenarios (86.66%) and is within 10% in 10,980 (91.50%). The gap distribution is strongly skewed: the median is 0 and the mean 0.0350, but the P95 is 0.2441 and 1,601 scenarios have a positive gap. The gap grows with scarcity: the exact-optimum rate is 100.00% (LOW), 98.27% (MODERATE) and 74.70% (HIGH), and the mean gap 0.0000, 0.0012 and 0.0691.</w:t>
      </w:r>
    </w:p>
    <w:p>
      <w:pPr>
        <w:keepNext/>
        <w:widowControl/>
        <w:spacing w:before="120" w:after="0" w:line="240" w:lineRule="auto"/>
        <w:jc w:val="center"/>
      </w:pPr>
      <w:r>
        <w:drawing>
          <wp:inline xmlns:a="http://schemas.openxmlformats.org/drawingml/2006/main" xmlns:pic="http://schemas.openxmlformats.org/drawingml/2006/picture">
            <wp:extent cx="6172200" cy="2157468"/>
            <wp:docPr id="7" name="Picture 7"/>
            <wp:cNvGraphicFramePr>
              <a:graphicFrameLocks noChangeAspect="1"/>
            </wp:cNvGraphicFramePr>
            <a:graphic>
              <a:graphicData uri="http://schemas.openxmlformats.org/drawingml/2006/picture">
                <pic:pic>
                  <pic:nvPicPr>
                    <pic:cNvPr id="0" name="fig07_gap_by_scarcity.png"/>
                    <pic:cNvPicPr/>
                  </pic:nvPicPr>
                  <pic:blipFill>
                    <a:blip r:embed="rId18"/>
                    <a:stretch>
                      <a:fillRect/>
                    </a:stretch>
                  </pic:blipFill>
                  <pic:spPr>
                    <a:xfrm>
                      <a:off x="0" y="0"/>
                      <a:ext cx="6172200" cy="2157468"/>
                    </a:xfrm>
                    <a:prstGeom prst="rect"/>
                  </pic:spPr>
                </pic:pic>
              </a:graphicData>
            </a:graphic>
          </wp:inline>
        </w:drawing>
      </w:r>
    </w:p>
    <w:p>
      <w:pPr>
        <w:widowControl/>
        <w:spacing w:before="60" w:after="160" w:line="240" w:lineRule="auto"/>
        <w:jc w:val="center"/>
      </w:pPr>
      <w:r>
        <w:rPr>
          <w:rFonts w:ascii="Arial" w:hAnsi="Arial" w:eastAsia="Arial" w:cs="Arial"/>
          <w:b w:val="0"/>
          <w:i/>
          <w:color w:val="64748B"/>
          <w:sz w:val="17"/>
        </w:rPr>
        <w:t>Figure 7. AASHRAY's optimality gap to the MILP benchmark by scarcity level (share of scenarios in each gap band); the gap grows under HIGH scarcity.</w:t>
      </w:r>
    </w:p>
    <w:tbl>
      <w:tblPr>
        <w:tblW w:type="dxa" w:w="9893"/>
        <w:jc w:val="center"/>
        <w:tblBorders>
          <w:top w:val="nil"/>
          <w:left w:val="nil"/>
          <w:bottom w:val="nil"/>
          <w:right w:val="nil"/>
          <w:insideH w:val="nil"/>
          <w:insideV w:val="nil"/>
        </w:tblBorders>
        <w:tblLayout w:type="fixed"/>
        <w:tblCellMar>
          <w:top w:w="0" w:type="dxa"/>
          <w:left w:w="40" w:type="dxa"/>
          <w:bottom w:w="0" w:type="dxa"/>
          <w:right w:w="40" w:type="dxa"/>
        </w:tblCellMar>
        <w:tblLook w:firstColumn="1" w:firstRow="1" w:lastColumn="0" w:lastRow="0" w:noHBand="0" w:noVBand="1" w:val="04A0"/>
      </w:tblPr>
      <w:tblGrid>
        <w:gridCol w:w="4946"/>
        <w:gridCol w:w="4946"/>
      </w:tblGrid>
      <w:tr>
        <w:trPr>
          <w:cantSplit/>
        </w:trPr>
        <w:tc>
          <w:tcPr>
            <w:tcW w:type="dxa" w:w="4946"/>
          </w:tcPr>
          <w:p>
            <w:pPr>
              <w:keepNext/>
              <w:widowControl/>
              <w:spacing w:before="80" w:after="0" w:line="240" w:lineRule="auto"/>
              <w:jc w:val="center"/>
            </w:pPr>
            <w:r>
              <w:drawing>
                <wp:inline xmlns:a="http://schemas.openxmlformats.org/drawingml/2006/main" xmlns:pic="http://schemas.openxmlformats.org/drawingml/2006/picture">
                  <wp:extent cx="2863734" cy="2306781"/>
                  <wp:docPr id="8" name="Picture 8"/>
                  <wp:cNvGraphicFramePr>
                    <a:graphicFrameLocks noChangeAspect="1"/>
                  </wp:cNvGraphicFramePr>
                  <a:graphic>
                    <a:graphicData uri="http://schemas.openxmlformats.org/drawingml/2006/picture">
                      <pic:pic>
                        <pic:nvPicPr>
                          <pic:cNvPr id="0" name="fig08_optimality_rates.png"/>
                          <pic:cNvPicPr/>
                        </pic:nvPicPr>
                        <pic:blipFill>
                          <a:blip r:embed="rId19"/>
                          <a:stretch>
                            <a:fillRect/>
                          </a:stretch>
                        </pic:blipFill>
                        <pic:spPr>
                          <a:xfrm>
                            <a:off x="0" y="0"/>
                            <a:ext cx="2863734" cy="2306781"/>
                          </a:xfrm>
                          <a:prstGeom prst="rect"/>
                        </pic:spPr>
                      </pic:pic>
                    </a:graphicData>
                  </a:graphic>
                </wp:inline>
              </w:drawing>
            </w:r>
          </w:p>
          <w:p>
            <w:pPr>
              <w:widowControl/>
              <w:spacing w:before="60" w:after="40" w:line="240" w:lineRule="auto"/>
              <w:jc w:val="center"/>
            </w:pPr>
            <w:r>
              <w:rPr>
                <w:rFonts w:ascii="Arial" w:hAnsi="Arial" w:eastAsia="Arial" w:cs="Arial"/>
                <w:b w:val="0"/>
                <w:i/>
                <w:color w:val="64748B"/>
                <w:sz w:val="17"/>
              </w:rPr>
              <w:t>Figure 8. Fraction of scenarios in which AASHRAY reaches or approaches the MILP optimum.</w:t>
            </w:r>
          </w:p>
        </w:tc>
        <w:tc>
          <w:tcPr>
            <w:tcW w:type="dxa" w:w="4946"/>
          </w:tcPr>
          <w:p>
            <w:pPr>
              <w:keepNext/>
              <w:widowControl/>
              <w:spacing w:before="80" w:after="0" w:line="240" w:lineRule="auto"/>
              <w:jc w:val="center"/>
            </w:pPr>
            <w:r>
              <w:drawing>
                <wp:inline xmlns:a="http://schemas.openxmlformats.org/drawingml/2006/main" xmlns:pic="http://schemas.openxmlformats.org/drawingml/2006/picture">
                  <wp:extent cx="2452254" cy="2506287"/>
                  <wp:docPr id="9" name="Picture 9"/>
                  <wp:cNvGraphicFramePr>
                    <a:graphicFrameLocks noChangeAspect="1"/>
                  </wp:cNvGraphicFramePr>
                  <a:graphic>
                    <a:graphicData uri="http://schemas.openxmlformats.org/drawingml/2006/picture">
                      <pic:pic>
                        <pic:nvPicPr>
                          <pic:cNvPr id="0" name="fig09_aashray_vs_milp.png"/>
                          <pic:cNvPicPr/>
                        </pic:nvPicPr>
                        <pic:blipFill>
                          <a:blip r:embed="rId20"/>
                          <a:stretch>
                            <a:fillRect/>
                          </a:stretch>
                        </pic:blipFill>
                        <pic:spPr>
                          <a:xfrm>
                            <a:off x="0" y="0"/>
                            <a:ext cx="2452254" cy="2506287"/>
                          </a:xfrm>
                          <a:prstGeom prst="rect"/>
                        </pic:spPr>
                      </pic:pic>
                    </a:graphicData>
                  </a:graphic>
                </wp:inline>
              </w:drawing>
            </w:r>
          </w:p>
          <w:p>
            <w:pPr>
              <w:widowControl/>
              <w:spacing w:before="60" w:after="40" w:line="240" w:lineRule="auto"/>
              <w:jc w:val="center"/>
            </w:pPr>
            <w:r>
              <w:rPr>
                <w:rFonts w:ascii="Arial" w:hAnsi="Arial" w:eastAsia="Arial" w:cs="Arial"/>
                <w:b w:val="0"/>
                <w:i/>
                <w:color w:val="64748B"/>
                <w:sz w:val="17"/>
              </w:rPr>
              <w:t>Figure 9. Scenario-level AASHRAY CDC relative to the MILP optimum (points on y = x are exact optima; points below it fall short).</w:t>
            </w:r>
          </w:p>
        </w:tc>
      </w:tr>
    </w:tbl>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6. Failure / Worst-Case Analysis</w:t>
      </w:r>
    </w:p>
    <w:p>
      <w:pPr>
        <w:widowControl/>
        <w:spacing w:before="0" w:after="100" w:line="264" w:lineRule="auto"/>
      </w:pPr>
      <w:r>
        <w:rPr>
          <w:rFonts w:ascii="Arial" w:hAnsi="Arial" w:eastAsia="Arial" w:cs="Arial"/>
          <w:b w:val="0"/>
          <w:i w:val="0"/>
          <w:color w:val="111827"/>
          <w:sz w:val="20"/>
        </w:rPr>
        <w:t xml:space="preserve">In </w:t>
      </w:r>
      <w:r>
        <w:rPr>
          <w:rFonts w:ascii="Arial" w:hAnsi="Arial" w:eastAsia="Arial" w:cs="Arial"/>
          <w:b/>
          <w:i w:val="0"/>
          <w:color w:val="111827"/>
          <w:sz w:val="20"/>
        </w:rPr>
        <w:t>59 of the 12,000 scenarios AASHRAY covered zero GT-critical demand (CDC = 0) while the MILP covered a positive amount.</w:t>
      </w:r>
      <w:r>
        <w:rPr>
          <w:rFonts w:ascii="Arial" w:hAnsi="Arial" w:eastAsia="Arial" w:cs="Arial"/>
          <w:b w:val="0"/>
          <w:i w:val="0"/>
          <w:color w:val="111827"/>
          <w:sz w:val="20"/>
        </w:rPr>
        <w:t xml:space="preserve"> All 59 are HIGH-scarcity scenarios (0 LOW, 0 MODERATE). In these scenarios the mean MILP CDC was 0.9770 and the mean FCFS CDC 0.3578.</w:t>
      </w:r>
    </w:p>
    <w:p>
      <w:pPr>
        <w:widowControl/>
        <w:spacing w:before="0" w:after="100" w:line="264" w:lineRule="auto"/>
      </w:pPr>
      <w:r>
        <w:rPr>
          <w:rFonts w:ascii="Arial" w:hAnsi="Arial" w:eastAsia="Arial" w:cs="Arial"/>
          <w:b/>
          <w:i w:val="0"/>
          <w:color w:val="111827"/>
          <w:sz w:val="20"/>
        </w:rPr>
        <w:t>Observed mechanism.</w:t>
      </w:r>
      <w:r>
        <w:rPr>
          <w:rFonts w:ascii="Arial" w:hAnsi="Arial" w:eastAsia="Arial" w:cs="Arial"/>
          <w:b w:val="0"/>
          <w:i w:val="0"/>
          <w:color w:val="111827"/>
          <w:sz w:val="20"/>
        </w:rPr>
        <w:t xml:space="preserve"> AASHRAY ranks by the continuous priority score 0.5S + 0.5U, whereas GT-criticality is a threshold rule. An emergency can be GT-critical through a single extreme value (S ≥ 0.95 or U ≥ 0.95) while its other value is low, which gives it only a moderate balanced score; an emergency that is not GT-critical but has two mid-range values can then score higher and consume the scarce supply first. In all 59 scenarios the highest-scoring emergency was not GT-critical, and in all 59 every GT-critical emergency (64 in total) qualified only through the single-extreme part of the rule (none had both S ≥ 0.8 and U ≥ 0.8).</w:t>
      </w:r>
    </w:p>
    <w:p>
      <w:pPr>
        <w:widowControl/>
        <w:spacing w:before="0" w:after="100" w:line="264" w:lineRule="auto"/>
      </w:pPr>
      <w:r>
        <w:rPr>
          <w:rFonts w:ascii="Arial" w:hAnsi="Arial" w:eastAsia="Arial" w:cs="Arial"/>
          <w:b w:val="0"/>
          <w:i w:val="0"/>
          <w:color w:val="111827"/>
          <w:sz w:val="20"/>
        </w:rPr>
        <w:t>This is a diagnostic result, not evidence that the experiment failed. This identifies a limitation of the balanced continuous priority score when the reference criticality rule allows an emergency to become critical because of a single extreme severity or urgency value. The AASHRAY score was not modified for this report; a score term that preserves single extreme values is a possible future direction and would need new development tuning and a new held-out evaluation.</w:t>
      </w:r>
    </w:p>
    <w:p>
      <w:pPr>
        <w:pStyle w:val="Heading2"/>
        <w:keepNext/>
        <w:widowControl/>
        <w:spacing w:before="120" w:after="80" w:line="240" w:lineRule="auto"/>
      </w:pPr>
      <w:r>
        <w:rPr>
          <w:rFonts w:ascii="Arial" w:hAnsi="Arial" w:eastAsia="Arial" w:cs="Arial"/>
          <w:b/>
          <w:i w:val="0"/>
          <w:color w:val="000000"/>
          <w:sz w:val="22"/>
        </w:rPr>
        <w:t>Example: FIN-00065 (HIGH scarcity, 3 emergencies)</w:t>
      </w:r>
    </w:p>
    <w:p>
      <w:pPr>
        <w:keepNext/>
        <w:widowControl/>
        <w:spacing w:before="0" w:after="80" w:line="264" w:lineRule="auto"/>
      </w:pPr>
      <w:r>
        <w:rPr>
          <w:rFonts w:ascii="Arial" w:hAnsi="Arial" w:eastAsia="Arial" w:cs="Arial"/>
          <w:b w:val="0"/>
          <w:i w:val="0"/>
          <w:color w:val="111827"/>
          <w:sz w:val="20"/>
        </w:rPr>
        <w:t>AASHRAY serves the emergencies in the rank order below. Supply: 634 water, 204 food, 1 medical kit (839 units). CDC: FCFS 0.0000, AASHRAY 0.0000, MILP 1.0000.</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1037"/>
        <w:gridCol w:w="1296"/>
        <w:gridCol w:w="864"/>
        <w:gridCol w:w="864"/>
        <w:gridCol w:w="1512"/>
        <w:gridCol w:w="1512"/>
        <w:gridCol w:w="1368"/>
        <w:gridCol w:w="1440"/>
      </w:tblGrid>
      <w:tr>
        <w:trPr>
          <w:cantSplit/>
          <w:tblHeader/>
        </w:trPr>
        <w:tc>
          <w:tcPr>
            <w:tcW w:type="dxa" w:w="1037"/>
            <w:shd w:val="clear" w:color="auto" w:fill="0F172A"/>
            <w:vAlign w:val="center"/>
          </w:tcPr>
          <w:p>
            <w:pPr>
              <w:keepNext/>
              <w:widowControl/>
              <w:spacing w:before="0" w:after="0" w:line="240" w:lineRule="auto"/>
              <w:jc w:val="center"/>
            </w:pPr>
            <w:r>
              <w:rPr>
                <w:rFonts w:ascii="Arial" w:hAnsi="Arial" w:eastAsia="Arial" w:cs="Arial"/>
                <w:b/>
                <w:i w:val="0"/>
                <w:color w:val="FFFFFF"/>
                <w:sz w:val="18"/>
              </w:rPr>
              <w:t>Rank</w:t>
            </w:r>
          </w:p>
        </w:tc>
        <w:tc>
          <w:tcPr>
            <w:tcW w:type="dxa" w:w="1296"/>
            <w:shd w:val="clear" w:color="auto" w:fill="0F172A"/>
            <w:vAlign w:val="center"/>
          </w:tcPr>
          <w:p>
            <w:pPr>
              <w:keepNext/>
              <w:widowControl/>
              <w:spacing w:before="0" w:after="0" w:line="240" w:lineRule="auto"/>
              <w:jc w:val="center"/>
            </w:pPr>
            <w:r>
              <w:rPr>
                <w:rFonts w:ascii="Arial" w:hAnsi="Arial" w:eastAsia="Arial" w:cs="Arial"/>
                <w:b/>
                <w:i w:val="0"/>
                <w:color w:val="FFFFFF"/>
                <w:sz w:val="18"/>
              </w:rPr>
              <w:t>Emergency</w:t>
            </w:r>
          </w:p>
        </w:tc>
        <w:tc>
          <w:tcPr>
            <w:tcW w:type="dxa" w:w="864"/>
            <w:shd w:val="clear" w:color="auto" w:fill="0F172A"/>
            <w:vAlign w:val="center"/>
          </w:tcPr>
          <w:p>
            <w:pPr>
              <w:keepNext/>
              <w:widowControl/>
              <w:spacing w:before="0" w:after="0" w:line="240" w:lineRule="auto"/>
              <w:jc w:val="center"/>
            </w:pPr>
            <w:r>
              <w:rPr>
                <w:rFonts w:ascii="Arial" w:hAnsi="Arial" w:eastAsia="Arial" w:cs="Arial"/>
                <w:b/>
                <w:i w:val="0"/>
                <w:color w:val="FFFFFF"/>
                <w:sz w:val="18"/>
              </w:rPr>
              <w:t>S</w:t>
            </w:r>
          </w:p>
        </w:tc>
        <w:tc>
          <w:tcPr>
            <w:tcW w:type="dxa" w:w="864"/>
            <w:shd w:val="clear" w:color="auto" w:fill="0F172A"/>
            <w:vAlign w:val="center"/>
          </w:tcPr>
          <w:p>
            <w:pPr>
              <w:keepNext/>
              <w:widowControl/>
              <w:spacing w:before="0" w:after="0" w:line="240" w:lineRule="auto"/>
              <w:jc w:val="center"/>
            </w:pPr>
            <w:r>
              <w:rPr>
                <w:rFonts w:ascii="Arial" w:hAnsi="Arial" w:eastAsia="Arial" w:cs="Arial"/>
                <w:b/>
                <w:i w:val="0"/>
                <w:color w:val="FFFFFF"/>
                <w:sz w:val="18"/>
              </w:rPr>
              <w:t>U</w:t>
            </w:r>
          </w:p>
        </w:tc>
        <w:tc>
          <w:tcPr>
            <w:tcW w:type="dxa" w:w="1512"/>
            <w:shd w:val="clear" w:color="auto" w:fill="0F172A"/>
            <w:vAlign w:val="center"/>
          </w:tcPr>
          <w:p>
            <w:pPr>
              <w:keepNext/>
              <w:widowControl/>
              <w:spacing w:before="0" w:after="0" w:line="240" w:lineRule="auto"/>
              <w:jc w:val="center"/>
            </w:pPr>
            <w:r>
              <w:rPr>
                <w:rFonts w:ascii="Arial" w:hAnsi="Arial" w:eastAsia="Arial" w:cs="Arial"/>
                <w:b/>
                <w:i w:val="0"/>
                <w:color w:val="FFFFFF"/>
                <w:sz w:val="18"/>
              </w:rPr>
              <w:t>P = 0.5S + 0.5U</w:t>
            </w:r>
          </w:p>
        </w:tc>
        <w:tc>
          <w:tcPr>
            <w:tcW w:type="dxa" w:w="1512"/>
            <w:shd w:val="clear" w:color="auto" w:fill="0F172A"/>
            <w:vAlign w:val="center"/>
          </w:tcPr>
          <w:p>
            <w:pPr>
              <w:keepNext/>
              <w:widowControl/>
              <w:spacing w:before="0" w:after="0" w:line="240" w:lineRule="auto"/>
              <w:jc w:val="center"/>
            </w:pPr>
            <w:r>
              <w:rPr>
                <w:rFonts w:ascii="Arial" w:hAnsi="Arial" w:eastAsia="Arial" w:cs="Arial"/>
                <w:b/>
                <w:i w:val="0"/>
                <w:color w:val="FFFFFF"/>
                <w:sz w:val="18"/>
              </w:rPr>
              <w:t>GT-critical</w:t>
            </w:r>
          </w:p>
        </w:tc>
        <w:tc>
          <w:tcPr>
            <w:tcW w:type="dxa" w:w="1368"/>
            <w:shd w:val="clear" w:color="auto" w:fill="0F172A"/>
            <w:vAlign w:val="center"/>
          </w:tcPr>
          <w:p>
            <w:pPr>
              <w:keepNext/>
              <w:widowControl/>
              <w:spacing w:before="0" w:after="0" w:line="240" w:lineRule="auto"/>
              <w:jc w:val="center"/>
            </w:pPr>
            <w:r>
              <w:rPr>
                <w:rFonts w:ascii="Arial" w:hAnsi="Arial" w:eastAsia="Arial" w:cs="Arial"/>
                <w:b/>
                <w:i w:val="0"/>
                <w:color w:val="FFFFFF"/>
                <w:sz w:val="18"/>
              </w:rPr>
              <w:t>Demand (units)</w:t>
            </w:r>
          </w:p>
        </w:tc>
        <w:tc>
          <w:tcPr>
            <w:tcW w:type="dxa" w:w="1440"/>
            <w:shd w:val="clear" w:color="auto" w:fill="0F172A"/>
            <w:vAlign w:val="center"/>
          </w:tcPr>
          <w:p>
            <w:pPr>
              <w:keepNext/>
              <w:widowControl/>
              <w:spacing w:before="0" w:after="0" w:line="240" w:lineRule="auto"/>
              <w:jc w:val="center"/>
            </w:pPr>
            <w:r>
              <w:rPr>
                <w:rFonts w:ascii="Arial" w:hAnsi="Arial" w:eastAsia="Arial" w:cs="Arial"/>
                <w:b/>
                <w:i w:val="0"/>
                <w:color w:val="FFFFFF"/>
                <w:sz w:val="18"/>
              </w:rPr>
              <w:t>Allocated (units)</w:t>
            </w:r>
          </w:p>
        </w:tc>
      </w:tr>
      <w:tr>
        <w:trPr>
          <w:cantSplit/>
        </w:trPr>
        <w:tc>
          <w:tcPr>
            <w:tcW w:type="dxa" w:w="1037"/>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1</w:t>
            </w:r>
          </w:p>
        </w:tc>
        <w:tc>
          <w:tcPr>
            <w:tcW w:type="dxa" w:w="1296"/>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E02</w:t>
            </w:r>
          </w:p>
        </w:tc>
        <w:tc>
          <w:tcPr>
            <w:tcW w:type="dxa" w:w="864"/>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0.4993</w:t>
            </w:r>
          </w:p>
        </w:tc>
        <w:tc>
          <w:tcPr>
            <w:tcW w:type="dxa" w:w="864"/>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0.5746</w:t>
            </w:r>
          </w:p>
        </w:tc>
        <w:tc>
          <w:tcPr>
            <w:tcW w:type="dxa" w:w="151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0.53695</w:t>
            </w:r>
          </w:p>
        </w:tc>
        <w:tc>
          <w:tcPr>
            <w:tcW w:type="dxa" w:w="151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No</w:t>
            </w:r>
          </w:p>
        </w:tc>
        <w:tc>
          <w:tcPr>
            <w:tcW w:type="dxa" w:w="1368"/>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1,605</w:t>
            </w:r>
          </w:p>
        </w:tc>
        <w:tc>
          <w:tcPr>
            <w:tcW w:type="dxa" w:w="1440"/>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838</w:t>
            </w:r>
          </w:p>
        </w:tc>
      </w:tr>
      <w:tr>
        <w:trPr>
          <w:cantSplit/>
        </w:trPr>
        <w:tc>
          <w:tcPr>
            <w:tcW w:type="dxa" w:w="1037"/>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2</w:t>
            </w:r>
          </w:p>
        </w:tc>
        <w:tc>
          <w:tcPr>
            <w:tcW w:type="dxa" w:w="1296"/>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E01</w:t>
            </w:r>
          </w:p>
        </w:tc>
        <w:tc>
          <w:tcPr>
            <w:tcW w:type="dxa" w:w="864"/>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0.0655</w:t>
            </w:r>
          </w:p>
        </w:tc>
        <w:tc>
          <w:tcPr>
            <w:tcW w:type="dxa" w:w="864"/>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0.9774</w:t>
            </w:r>
          </w:p>
        </w:tc>
        <w:tc>
          <w:tcPr>
            <w:tcW w:type="dxa" w:w="1512"/>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0.52145</w:t>
            </w:r>
          </w:p>
        </w:tc>
        <w:tc>
          <w:tcPr>
            <w:tcW w:type="dxa" w:w="1512"/>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Yes (U ≥ 0.95)</w:t>
            </w:r>
          </w:p>
        </w:tc>
        <w:tc>
          <w:tcPr>
            <w:tcW w:type="dxa" w:w="1368"/>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168</w:t>
            </w:r>
          </w:p>
        </w:tc>
        <w:tc>
          <w:tcPr>
            <w:tcW w:type="dxa" w:w="1440"/>
            <w:shd w:val="clear" w:color="auto" w:fill="FEF9C3"/>
            <w:vAlign w:val="center"/>
          </w:tcPr>
          <w:p>
            <w:pPr>
              <w:keepNext/>
              <w:widowControl/>
              <w:spacing w:before="0" w:after="0" w:line="240" w:lineRule="auto"/>
              <w:jc w:val="center"/>
            </w:pPr>
            <w:r>
              <w:rPr>
                <w:rFonts w:ascii="Arial" w:hAnsi="Arial" w:eastAsia="Arial" w:cs="Arial"/>
                <w:b w:val="0"/>
                <w:i w:val="0"/>
                <w:color w:val="111827"/>
                <w:sz w:val="18"/>
              </w:rPr>
              <w:t>0</w:t>
            </w:r>
          </w:p>
        </w:tc>
      </w:tr>
      <w:tr>
        <w:trPr>
          <w:cantSplit/>
        </w:trPr>
        <w:tc>
          <w:tcPr>
            <w:tcW w:type="dxa" w:w="1037"/>
            <w:shd w:val="clear" w:color="auto" w:fill="FFFFFF"/>
            <w:vAlign w:val="center"/>
          </w:tcPr>
          <w:p>
            <w:pPr>
              <w:widowControl/>
              <w:spacing w:before="0" w:after="0" w:line="240" w:lineRule="auto"/>
              <w:jc w:val="center"/>
            </w:pPr>
            <w:r>
              <w:rPr>
                <w:rFonts w:ascii="Arial" w:hAnsi="Arial" w:eastAsia="Arial" w:cs="Arial"/>
                <w:b w:val="0"/>
                <w:i w:val="0"/>
                <w:color w:val="111827"/>
                <w:sz w:val="18"/>
              </w:rPr>
              <w:t>3</w:t>
            </w:r>
          </w:p>
        </w:tc>
        <w:tc>
          <w:tcPr>
            <w:tcW w:type="dxa" w:w="1296"/>
            <w:shd w:val="clear" w:color="auto" w:fill="FFFFFF"/>
            <w:vAlign w:val="center"/>
          </w:tcPr>
          <w:p>
            <w:pPr>
              <w:widowControl/>
              <w:spacing w:before="0" w:after="0" w:line="240" w:lineRule="auto"/>
              <w:jc w:val="center"/>
            </w:pPr>
            <w:r>
              <w:rPr>
                <w:rFonts w:ascii="Arial" w:hAnsi="Arial" w:eastAsia="Arial" w:cs="Arial"/>
                <w:b w:val="0"/>
                <w:i w:val="0"/>
                <w:color w:val="111827"/>
                <w:sz w:val="18"/>
              </w:rPr>
              <w:t>E03</w:t>
            </w:r>
          </w:p>
        </w:tc>
        <w:tc>
          <w:tcPr>
            <w:tcW w:type="dxa" w:w="864"/>
            <w:shd w:val="clear" w:color="auto" w:fill="FFFFFF"/>
            <w:vAlign w:val="center"/>
          </w:tcPr>
          <w:p>
            <w:pPr>
              <w:widowControl/>
              <w:spacing w:before="0" w:after="0" w:line="240" w:lineRule="auto"/>
              <w:jc w:val="center"/>
            </w:pPr>
            <w:r>
              <w:rPr>
                <w:rFonts w:ascii="Arial" w:hAnsi="Arial" w:eastAsia="Arial" w:cs="Arial"/>
                <w:b w:val="0"/>
                <w:i w:val="0"/>
                <w:color w:val="111827"/>
                <w:sz w:val="18"/>
              </w:rPr>
              <w:t>0.0239</w:t>
            </w:r>
          </w:p>
        </w:tc>
        <w:tc>
          <w:tcPr>
            <w:tcW w:type="dxa" w:w="864"/>
            <w:shd w:val="clear" w:color="auto" w:fill="FFFFFF"/>
            <w:vAlign w:val="center"/>
          </w:tcPr>
          <w:p>
            <w:pPr>
              <w:widowControl/>
              <w:spacing w:before="0" w:after="0" w:line="240" w:lineRule="auto"/>
              <w:jc w:val="center"/>
            </w:pPr>
            <w:r>
              <w:rPr>
                <w:rFonts w:ascii="Arial" w:hAnsi="Arial" w:eastAsia="Arial" w:cs="Arial"/>
                <w:b w:val="0"/>
                <w:i w:val="0"/>
                <w:color w:val="111827"/>
                <w:sz w:val="18"/>
              </w:rPr>
              <w:t>0.7620</w:t>
            </w:r>
          </w:p>
        </w:tc>
        <w:tc>
          <w:tcPr>
            <w:tcW w:type="dxa" w:w="1512"/>
            <w:shd w:val="clear" w:color="auto" w:fill="FFFFFF"/>
            <w:vAlign w:val="center"/>
          </w:tcPr>
          <w:p>
            <w:pPr>
              <w:widowControl/>
              <w:spacing w:before="0" w:after="0" w:line="240" w:lineRule="auto"/>
              <w:jc w:val="center"/>
            </w:pPr>
            <w:r>
              <w:rPr>
                <w:rFonts w:ascii="Arial" w:hAnsi="Arial" w:eastAsia="Arial" w:cs="Arial"/>
                <w:b w:val="0"/>
                <w:i w:val="0"/>
                <w:color w:val="111827"/>
                <w:sz w:val="18"/>
              </w:rPr>
              <w:t>0.39295</w:t>
            </w:r>
          </w:p>
        </w:tc>
        <w:tc>
          <w:tcPr>
            <w:tcW w:type="dxa" w:w="1512"/>
            <w:shd w:val="clear" w:color="auto" w:fill="FFFFFF"/>
            <w:vAlign w:val="center"/>
          </w:tcPr>
          <w:p>
            <w:pPr>
              <w:widowControl/>
              <w:spacing w:before="0" w:after="0" w:line="240" w:lineRule="auto"/>
              <w:jc w:val="center"/>
            </w:pPr>
            <w:r>
              <w:rPr>
                <w:rFonts w:ascii="Arial" w:hAnsi="Arial" w:eastAsia="Arial" w:cs="Arial"/>
                <w:b w:val="0"/>
                <w:i w:val="0"/>
                <w:color w:val="111827"/>
                <w:sz w:val="18"/>
              </w:rPr>
              <w:t>No</w:t>
            </w:r>
          </w:p>
        </w:tc>
        <w:tc>
          <w:tcPr>
            <w:tcW w:type="dxa" w:w="1368"/>
            <w:shd w:val="clear" w:color="auto" w:fill="FFFFFF"/>
            <w:vAlign w:val="center"/>
          </w:tcPr>
          <w:p>
            <w:pPr>
              <w:widowControl/>
              <w:spacing w:before="0" w:after="0" w:line="240" w:lineRule="auto"/>
              <w:jc w:val="center"/>
            </w:pPr>
            <w:r>
              <w:rPr>
                <w:rFonts w:ascii="Arial" w:hAnsi="Arial" w:eastAsia="Arial" w:cs="Arial"/>
                <w:b w:val="0"/>
                <w:i w:val="0"/>
                <w:color w:val="111827"/>
                <w:sz w:val="18"/>
              </w:rPr>
              <w:t>311</w:t>
            </w:r>
          </w:p>
        </w:tc>
        <w:tc>
          <w:tcPr>
            <w:tcW w:type="dxa" w:w="1440"/>
            <w:shd w:val="clear" w:color="auto" w:fill="FFFFFF"/>
            <w:vAlign w:val="center"/>
          </w:tcPr>
          <w:p>
            <w:pPr>
              <w:widowControl/>
              <w:spacing w:before="0" w:after="0" w:line="240" w:lineRule="auto"/>
              <w:jc w:val="center"/>
            </w:pPr>
            <w:r>
              <w:rPr>
                <w:rFonts w:ascii="Arial" w:hAnsi="Arial" w:eastAsia="Arial" w:cs="Arial"/>
                <w:b w:val="0"/>
                <w:i w:val="0"/>
                <w:color w:val="111827"/>
                <w:sz w:val="18"/>
              </w:rPr>
              <w:t>1</w:t>
            </w:r>
          </w:p>
        </w:tc>
      </w:tr>
    </w:tbl>
    <w:p>
      <w:pPr>
        <w:widowControl/>
        <w:spacing w:before="120" w:after="100" w:line="264" w:lineRule="auto"/>
      </w:pPr>
      <w:r>
        <w:rPr>
          <w:rFonts w:ascii="Arial" w:hAnsi="Arial" w:eastAsia="Arial" w:cs="Arial"/>
          <w:b w:val="0"/>
          <w:i w:val="0"/>
          <w:color w:val="111827"/>
          <w:sz w:val="20"/>
        </w:rPr>
        <w:t>Emergency E02 is not GT-critical but has the highest balanced score, so it is served first and absorbs 838 of the 839 available units; the GT-critical E01 (U = 0.9774, S = 0.0655) receives nothing. FCFS also covers no GT-critical demand in this scenario.</w:t>
      </w:r>
    </w:p>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7. Computational Efficiency</w:t>
      </w:r>
    </w:p>
    <w:p>
      <w:pPr>
        <w:keepNext/>
        <w:widowControl/>
        <w:spacing w:before="0" w:after="100" w:line="264" w:lineRule="auto"/>
      </w:pPr>
      <w:r>
        <w:rPr>
          <w:rFonts w:ascii="Arial" w:hAnsi="Arial" w:eastAsia="Arial" w:cs="Arial"/>
          <w:b w:val="0"/>
          <w:i w:val="0"/>
          <w:color w:val="111827"/>
          <w:sz w:val="20"/>
        </w:rPr>
        <w:t xml:space="preserve">Runtime was measured per scenario in a single process and a single official run (warm-up on 3 scenarios) on an AMD Ryzen 9 8940HX with Radeon Graphics (Windows 11, Python 3.12.10). AASHRAY time is ranking decision plus allocation; MILP time is model build plus HiGHS solve. </w:t>
      </w:r>
      <w:r>
        <w:rPr>
          <w:rFonts w:ascii="Arial" w:hAnsi="Arial" w:eastAsia="Arial" w:cs="Arial"/>
          <w:b/>
          <w:i w:val="0"/>
          <w:color w:val="111827"/>
          <w:sz w:val="20"/>
        </w:rPr>
        <w:t>Runtime results are descriptive and hardware/implementation dependent;</w:t>
      </w:r>
      <w:r>
        <w:rPr>
          <w:rFonts w:ascii="Arial" w:hAnsi="Arial" w:eastAsia="Arial" w:cs="Arial"/>
          <w:b w:val="0"/>
          <w:i w:val="0"/>
          <w:color w:val="111827"/>
          <w:sz w:val="20"/>
        </w:rPr>
        <w:t xml:space="preserve"> they are not a formal hypothesis test.</w:t>
      </w:r>
    </w:p>
    <w:tbl>
      <w:tblPr>
        <w:tblW w:type="dxa" w:w="9893"/>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5" w:type="dxa"/>
          <w:left w:w="90" w:type="dxa"/>
          <w:bottom w:w="45" w:type="dxa"/>
          <w:right w:w="90" w:type="dxa"/>
        </w:tblCellMar>
        <w:tblLook w:firstColumn="1" w:firstRow="1" w:lastColumn="0" w:lastRow="0" w:noHBand="0" w:noVBand="1" w:val="04A0"/>
      </w:tblPr>
      <w:tblGrid>
        <w:gridCol w:w="2232"/>
        <w:gridCol w:w="2016"/>
        <w:gridCol w:w="1872"/>
        <w:gridCol w:w="1800"/>
        <w:gridCol w:w="1973"/>
      </w:tblGrid>
      <w:tr>
        <w:trPr>
          <w:cantSplit/>
          <w:tblHeader/>
        </w:trPr>
        <w:tc>
          <w:tcPr>
            <w:tcW w:type="dxa" w:w="2232"/>
            <w:shd w:val="clear" w:color="auto" w:fill="0F172A"/>
            <w:vAlign w:val="center"/>
          </w:tcPr>
          <w:p>
            <w:pPr>
              <w:keepNext/>
              <w:widowControl/>
              <w:spacing w:before="0" w:after="0" w:line="240" w:lineRule="auto"/>
              <w:jc w:val="left"/>
            </w:pPr>
            <w:r>
              <w:rPr>
                <w:rFonts w:ascii="Arial" w:hAnsi="Arial" w:eastAsia="Arial" w:cs="Arial"/>
                <w:b/>
                <w:i w:val="0"/>
                <w:color w:val="FFFFFF"/>
                <w:sz w:val="18"/>
              </w:rPr>
              <w:t>Metric</w:t>
            </w:r>
          </w:p>
        </w:tc>
        <w:tc>
          <w:tcPr>
            <w:tcW w:type="dxa" w:w="2016"/>
            <w:shd w:val="clear" w:color="auto" w:fill="0F172A"/>
            <w:vAlign w:val="center"/>
          </w:tcPr>
          <w:p>
            <w:pPr>
              <w:keepNext/>
              <w:widowControl/>
              <w:spacing w:before="0" w:after="0" w:line="240" w:lineRule="auto"/>
              <w:jc w:val="center"/>
            </w:pPr>
            <w:r>
              <w:rPr>
                <w:rFonts w:ascii="Arial" w:hAnsi="Arial" w:eastAsia="Arial" w:cs="Arial"/>
                <w:b/>
                <w:i w:val="0"/>
                <w:color w:val="FFFFFF"/>
                <w:sz w:val="18"/>
              </w:rPr>
              <w:t>AASHRAY raw (order-affected)</w:t>
            </w:r>
          </w:p>
        </w:tc>
        <w:tc>
          <w:tcPr>
            <w:tcW w:type="dxa" w:w="1872"/>
            <w:shd w:val="clear" w:color="auto" w:fill="0F172A"/>
            <w:vAlign w:val="center"/>
          </w:tcPr>
          <w:p>
            <w:pPr>
              <w:keepNext/>
              <w:widowControl/>
              <w:spacing w:before="0" w:after="0" w:line="240" w:lineRule="auto"/>
              <w:jc w:val="center"/>
            </w:pPr>
            <w:r>
              <w:rPr>
                <w:rFonts w:ascii="Arial" w:hAnsi="Arial" w:eastAsia="Arial" w:cs="Arial"/>
                <w:b/>
                <w:i w:val="0"/>
                <w:color w:val="FFFFFF"/>
                <w:sz w:val="18"/>
              </w:rPr>
              <w:t>AASHRAY conservative</w:t>
            </w:r>
          </w:p>
        </w:tc>
        <w:tc>
          <w:tcPr>
            <w:tcW w:type="dxa" w:w="1800"/>
            <w:shd w:val="clear" w:color="auto" w:fill="0F172A"/>
            <w:vAlign w:val="center"/>
          </w:tcPr>
          <w:p>
            <w:pPr>
              <w:keepNext/>
              <w:widowControl/>
              <w:spacing w:before="0" w:after="0" w:line="240" w:lineRule="auto"/>
              <w:jc w:val="center"/>
            </w:pPr>
            <w:r>
              <w:rPr>
                <w:rFonts w:ascii="Arial" w:hAnsi="Arial" w:eastAsia="Arial" w:cs="Arial"/>
                <w:b/>
                <w:i w:val="0"/>
                <w:color w:val="FFFFFF"/>
                <w:sz w:val="18"/>
              </w:rPr>
              <w:t>MILP (build + solve)</w:t>
            </w:r>
          </w:p>
        </w:tc>
        <w:tc>
          <w:tcPr>
            <w:tcW w:type="dxa" w:w="1973"/>
            <w:shd w:val="clear" w:color="auto" w:fill="0F172A"/>
            <w:vAlign w:val="center"/>
          </w:tcPr>
          <w:p>
            <w:pPr>
              <w:keepNext/>
              <w:widowControl/>
              <w:spacing w:before="0" w:after="0" w:line="240" w:lineRule="auto"/>
              <w:jc w:val="center"/>
            </w:pPr>
            <w:r>
              <w:rPr>
                <w:rFonts w:ascii="Arial" w:hAnsi="Arial" w:eastAsia="Arial" w:cs="Arial"/>
                <w:b/>
                <w:i w:val="0"/>
                <w:color w:val="FFFFFF"/>
                <w:sz w:val="18"/>
              </w:rPr>
              <w:t>MILP ÷ AASHRAY (conservative)</w:t>
            </w:r>
          </w:p>
        </w:tc>
      </w:tr>
      <w:tr>
        <w:trPr>
          <w:cantSplit/>
        </w:trPr>
        <w:tc>
          <w:tcPr>
            <w:tcW w:type="dxa" w:w="2232"/>
            <w:shd w:val="clear" w:color="auto" w:fill="FFFFFF"/>
            <w:vAlign w:val="center"/>
          </w:tcPr>
          <w:p>
            <w:pPr>
              <w:keepNext/>
              <w:widowControl/>
              <w:spacing w:before="0" w:after="0" w:line="240" w:lineRule="auto"/>
              <w:jc w:val="left"/>
            </w:pPr>
            <w:r>
              <w:rPr>
                <w:rFonts w:ascii="Arial" w:hAnsi="Arial" w:eastAsia="Arial" w:cs="Arial"/>
                <w:b/>
                <w:i w:val="0"/>
                <w:color w:val="111827"/>
                <w:sz w:val="18"/>
              </w:rPr>
              <w:t>Mean (ms)</w:t>
            </w:r>
          </w:p>
        </w:tc>
        <w:tc>
          <w:tcPr>
            <w:tcW w:type="dxa" w:w="2016"/>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0.247</w:t>
            </w:r>
          </w:p>
        </w:tc>
        <w:tc>
          <w:tcPr>
            <w:tcW w:type="dxa" w:w="187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0.440</w:t>
            </w:r>
          </w:p>
        </w:tc>
        <w:tc>
          <w:tcPr>
            <w:tcW w:type="dxa" w:w="1800"/>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2.472</w:t>
            </w:r>
          </w:p>
        </w:tc>
        <w:tc>
          <w:tcPr>
            <w:tcW w:type="dxa" w:w="1973"/>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5.6×</w:t>
            </w:r>
          </w:p>
        </w:tc>
      </w:tr>
      <w:tr>
        <w:trPr>
          <w:cantSplit/>
        </w:trPr>
        <w:tc>
          <w:tcPr>
            <w:tcW w:type="dxa" w:w="2232"/>
            <w:shd w:val="clear" w:color="auto" w:fill="F8FAFC"/>
            <w:vAlign w:val="center"/>
          </w:tcPr>
          <w:p>
            <w:pPr>
              <w:keepNext/>
              <w:widowControl/>
              <w:spacing w:before="0" w:after="0" w:line="240" w:lineRule="auto"/>
              <w:jc w:val="left"/>
            </w:pPr>
            <w:r>
              <w:rPr>
                <w:rFonts w:ascii="Arial" w:hAnsi="Arial" w:eastAsia="Arial" w:cs="Arial"/>
                <w:b/>
                <w:i w:val="0"/>
                <w:color w:val="111827"/>
                <w:sz w:val="18"/>
              </w:rPr>
              <w:t>Median (ms)</w:t>
            </w:r>
          </w:p>
        </w:tc>
        <w:tc>
          <w:tcPr>
            <w:tcW w:type="dxa" w:w="2016"/>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0.213</w:t>
            </w:r>
          </w:p>
        </w:tc>
        <w:tc>
          <w:tcPr>
            <w:tcW w:type="dxa" w:w="1872"/>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0.289</w:t>
            </w:r>
          </w:p>
        </w:tc>
        <w:tc>
          <w:tcPr>
            <w:tcW w:type="dxa" w:w="1800"/>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1.385</w:t>
            </w:r>
          </w:p>
        </w:tc>
        <w:tc>
          <w:tcPr>
            <w:tcW w:type="dxa" w:w="1973"/>
            <w:shd w:val="clear" w:color="auto" w:fill="F8FAFC"/>
            <w:vAlign w:val="center"/>
          </w:tcPr>
          <w:p>
            <w:pPr>
              <w:keepNext/>
              <w:widowControl/>
              <w:spacing w:before="0" w:after="0" w:line="240" w:lineRule="auto"/>
              <w:jc w:val="center"/>
            </w:pPr>
            <w:r>
              <w:rPr>
                <w:rFonts w:ascii="Arial" w:hAnsi="Arial" w:eastAsia="Arial" w:cs="Arial"/>
                <w:b w:val="0"/>
                <w:i w:val="0"/>
                <w:color w:val="111827"/>
                <w:sz w:val="18"/>
              </w:rPr>
              <w:t>4.8×</w:t>
            </w:r>
          </w:p>
        </w:tc>
      </w:tr>
      <w:tr>
        <w:trPr>
          <w:cantSplit/>
        </w:trPr>
        <w:tc>
          <w:tcPr>
            <w:tcW w:type="dxa" w:w="2232"/>
            <w:shd w:val="clear" w:color="auto" w:fill="FFFFFF"/>
            <w:vAlign w:val="center"/>
          </w:tcPr>
          <w:p>
            <w:pPr>
              <w:keepNext/>
              <w:widowControl/>
              <w:spacing w:before="0" w:after="0" w:line="240" w:lineRule="auto"/>
              <w:jc w:val="left"/>
            </w:pPr>
            <w:r>
              <w:rPr>
                <w:rFonts w:ascii="Arial" w:hAnsi="Arial" w:eastAsia="Arial" w:cs="Arial"/>
                <w:b/>
                <w:i w:val="0"/>
                <w:color w:val="111827"/>
                <w:sz w:val="18"/>
              </w:rPr>
              <w:t>P95 (ms)</w:t>
            </w:r>
          </w:p>
        </w:tc>
        <w:tc>
          <w:tcPr>
            <w:tcW w:type="dxa" w:w="2016"/>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0.488</w:t>
            </w:r>
          </w:p>
        </w:tc>
        <w:tc>
          <w:tcPr>
            <w:tcW w:type="dxa" w:w="1872"/>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0.786</w:t>
            </w:r>
          </w:p>
        </w:tc>
        <w:tc>
          <w:tcPr>
            <w:tcW w:type="dxa" w:w="1800"/>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7.087</w:t>
            </w:r>
          </w:p>
        </w:tc>
        <w:tc>
          <w:tcPr>
            <w:tcW w:type="dxa" w:w="1973"/>
            <w:shd w:val="clear" w:color="auto" w:fill="FFFFFF"/>
            <w:vAlign w:val="center"/>
          </w:tcPr>
          <w:p>
            <w:pPr>
              <w:keepNext/>
              <w:widowControl/>
              <w:spacing w:before="0" w:after="0" w:line="240" w:lineRule="auto"/>
              <w:jc w:val="center"/>
            </w:pPr>
            <w:r>
              <w:rPr>
                <w:rFonts w:ascii="Arial" w:hAnsi="Arial" w:eastAsia="Arial" w:cs="Arial"/>
                <w:b w:val="0"/>
                <w:i w:val="0"/>
                <w:color w:val="111827"/>
                <w:sz w:val="18"/>
              </w:rPr>
              <w:t>—</w:t>
            </w:r>
          </w:p>
        </w:tc>
      </w:tr>
      <w:tr>
        <w:trPr>
          <w:cantSplit/>
        </w:trPr>
        <w:tc>
          <w:tcPr>
            <w:tcW w:type="dxa" w:w="2232"/>
            <w:shd w:val="clear" w:color="auto" w:fill="F8FAFC"/>
            <w:vAlign w:val="center"/>
          </w:tcPr>
          <w:p>
            <w:pPr>
              <w:widowControl/>
              <w:spacing w:before="0" w:after="0" w:line="240" w:lineRule="auto"/>
              <w:jc w:val="left"/>
            </w:pPr>
            <w:r>
              <w:rPr>
                <w:rFonts w:ascii="Arial" w:hAnsi="Arial" w:eastAsia="Arial" w:cs="Arial"/>
                <w:b/>
                <w:i w:val="0"/>
                <w:color w:val="111827"/>
                <w:sz w:val="18"/>
              </w:rPr>
              <w:t>Total, 12,000 scenarios (s)</w:t>
            </w:r>
          </w:p>
        </w:tc>
        <w:tc>
          <w:tcPr>
            <w:tcW w:type="dxa" w:w="2016"/>
            <w:shd w:val="clear" w:color="auto" w:fill="F8FAFC"/>
            <w:vAlign w:val="center"/>
          </w:tcPr>
          <w:p>
            <w:pPr>
              <w:widowControl/>
              <w:spacing w:before="0" w:after="0" w:line="240" w:lineRule="auto"/>
              <w:jc w:val="center"/>
            </w:pPr>
            <w:r>
              <w:rPr>
                <w:rFonts w:ascii="Arial" w:hAnsi="Arial" w:eastAsia="Arial" w:cs="Arial"/>
                <w:b w:val="0"/>
                <w:i w:val="0"/>
                <w:color w:val="111827"/>
                <w:sz w:val="18"/>
              </w:rPr>
              <w:t>2.97</w:t>
            </w:r>
          </w:p>
        </w:tc>
        <w:tc>
          <w:tcPr>
            <w:tcW w:type="dxa" w:w="1872"/>
            <w:shd w:val="clear" w:color="auto" w:fill="F8FAFC"/>
            <w:vAlign w:val="center"/>
          </w:tcPr>
          <w:p>
            <w:pPr>
              <w:widowControl/>
              <w:spacing w:before="0" w:after="0" w:line="240" w:lineRule="auto"/>
              <w:jc w:val="center"/>
            </w:pPr>
            <w:r>
              <w:rPr>
                <w:rFonts w:ascii="Arial" w:hAnsi="Arial" w:eastAsia="Arial" w:cs="Arial"/>
                <w:b w:val="0"/>
                <w:i w:val="0"/>
                <w:color w:val="111827"/>
                <w:sz w:val="18"/>
              </w:rPr>
              <w:t>5.28</w:t>
            </w:r>
          </w:p>
        </w:tc>
        <w:tc>
          <w:tcPr>
            <w:tcW w:type="dxa" w:w="1800"/>
            <w:shd w:val="clear" w:color="auto" w:fill="F8FAFC"/>
            <w:vAlign w:val="center"/>
          </w:tcPr>
          <w:p>
            <w:pPr>
              <w:widowControl/>
              <w:spacing w:before="0" w:after="0" w:line="240" w:lineRule="auto"/>
              <w:jc w:val="center"/>
            </w:pPr>
            <w:r>
              <w:rPr>
                <w:rFonts w:ascii="Arial" w:hAnsi="Arial" w:eastAsia="Arial" w:cs="Arial"/>
                <w:b w:val="0"/>
                <w:i w:val="0"/>
                <w:color w:val="111827"/>
                <w:sz w:val="18"/>
              </w:rPr>
              <w:t>29.67</w:t>
            </w:r>
          </w:p>
        </w:tc>
        <w:tc>
          <w:tcPr>
            <w:tcW w:type="dxa" w:w="1973"/>
            <w:shd w:val="clear" w:color="auto" w:fill="F8FAFC"/>
            <w:vAlign w:val="center"/>
          </w:tcPr>
          <w:p>
            <w:pPr>
              <w:widowControl/>
              <w:spacing w:before="0" w:after="0" w:line="240" w:lineRule="auto"/>
              <w:jc w:val="center"/>
            </w:pPr>
            <w:r>
              <w:rPr>
                <w:rFonts w:ascii="Arial" w:hAnsi="Arial" w:eastAsia="Arial" w:cs="Arial"/>
                <w:b w:val="0"/>
                <w:i w:val="0"/>
                <w:color w:val="111827"/>
                <w:sz w:val="18"/>
              </w:rPr>
              <w:t>5.6×</w:t>
            </w:r>
          </w:p>
        </w:tc>
      </w:tr>
    </w:tbl>
    <w:p>
      <w:pPr>
        <w:widowControl/>
        <w:spacing w:before="0" w:after="0" w:line="140" w:lineRule="exact"/>
      </w:pPr>
    </w:p>
    <w:tbl>
      <w:tblPr>
        <w:tblW w:type="dxa" w:w="9893"/>
        <w:jc w:val="center"/>
        <w:tblBorders>
          <w:top w:val="single" w:sz="4" w:space="0" w:color="FDE68A"/>
          <w:left w:val="single" w:sz="4" w:space="0" w:color="FDE68A"/>
          <w:bottom w:val="single" w:sz="4" w:space="0" w:color="FDE68A"/>
          <w:right w:val="single" w:sz="4" w:space="0" w:color="FDE68A"/>
          <w:insideH w:val="single" w:sz="4" w:space="0" w:color="FDE68A"/>
          <w:insideV w:val="single" w:sz="4" w:space="0" w:color="FDE68A"/>
        </w:tblBorders>
        <w:tblLayout w:type="fixed"/>
        <w:tblCellMar>
          <w:top w:w="80" w:type="dxa"/>
          <w:left w:w="120" w:type="dxa"/>
          <w:bottom w:w="80" w:type="dxa"/>
          <w:right w:w="120" w:type="dxa"/>
        </w:tblCellMar>
        <w:tblLook w:firstColumn="1" w:firstRow="1" w:lastColumn="0" w:lastRow="0" w:noHBand="0" w:noVBand="1" w:val="04A0"/>
      </w:tblPr>
      <w:tblGrid>
        <w:gridCol w:w="9893"/>
      </w:tblGrid>
      <w:tr>
        <w:trPr>
          <w:cantSplit/>
        </w:trPr>
        <w:tc>
          <w:tcPr>
            <w:tcW w:type="dxa" w:w="9893"/>
            <w:shd w:val="clear" w:color="auto" w:fill="FEF9C3"/>
          </w:tcPr>
          <w:p>
            <w:pPr>
              <w:widowControl/>
              <w:spacing w:before="0" w:after="0" w:line="264" w:lineRule="auto"/>
            </w:pPr>
            <w:r>
              <w:rPr>
                <w:rFonts w:ascii="Arial" w:hAnsi="Arial" w:eastAsia="Arial" w:cs="Arial"/>
                <w:b/>
                <w:i w:val="0"/>
                <w:color w:val="0F172A"/>
                <w:sz w:val="20"/>
              </w:rPr>
              <w:t>Execution-order caveat.</w:t>
            </w:r>
            <w:r>
              <w:rPr>
                <w:rFonts w:ascii="Arial" w:hAnsi="Arial" w:eastAsia="Arial" w:cs="Arial"/>
                <w:b w:val="0"/>
                <w:i w:val="0"/>
                <w:color w:val="0F172A"/>
                <w:sz w:val="20"/>
              </w:rPr>
              <w:t xml:space="preserve"> For every scenario the methods ran in the order FCFS → AASHRAY → MILP. FCFS and AASHRAY call the same allocation service, and the first call in a scenario was slower than AASHRAY's second call in 11,645 of 12,000 scenarios, so AASHRAY's raw allocation time benefits from a warm-cache/order effect. The raw ratios (9.99× by total, 6.49× by median) are therefore not the main result, and AASHRAY-vs-FCFS timing is not a controlled head-to-head comparison. The </w:t>
            </w:r>
            <w:r>
              <w:rPr>
                <w:rFonts w:ascii="Arial" w:hAnsi="Arial" w:eastAsia="Arial" w:cs="Arial"/>
                <w:b/>
                <w:i w:val="0"/>
                <w:color w:val="0F172A"/>
                <w:sz w:val="20"/>
              </w:rPr>
              <w:t>conservative</w:t>
            </w:r>
            <w:r>
              <w:rPr>
                <w:rFonts w:ascii="Arial" w:hAnsi="Arial" w:eastAsia="Arial" w:cs="Arial"/>
                <w:b w:val="0"/>
                <w:i w:val="0"/>
                <w:color w:val="0F172A"/>
                <w:sz w:val="20"/>
              </w:rPr>
              <w:t xml:space="preserve"> estimate charges AASHRAY its own ranking time plus the first-position (FCFS) allocation time of the same scenario.</w:t>
            </w:r>
          </w:p>
        </w:tc>
      </w:tr>
    </w:tbl>
    <w:p>
      <w:pPr>
        <w:widowControl/>
        <w:spacing w:before="140" w:after="100" w:line="264" w:lineRule="auto"/>
      </w:pPr>
      <w:r>
        <w:rPr>
          <w:rFonts w:ascii="Arial" w:hAnsi="Arial" w:eastAsia="Arial" w:cs="Arial"/>
          <w:b w:val="0"/>
          <w:i w:val="0"/>
          <w:color w:val="111827"/>
          <w:sz w:val="20"/>
        </w:rPr>
        <w:t xml:space="preserve">Even under the conservative estimate, the MILP takes about </w:t>
      </w:r>
      <w:r>
        <w:rPr>
          <w:rFonts w:ascii="Arial" w:hAnsi="Arial" w:eastAsia="Arial" w:cs="Arial"/>
          <w:b/>
          <w:i w:val="0"/>
          <w:color w:val="111827"/>
          <w:sz w:val="20"/>
        </w:rPr>
        <w:t>5.6× longer in total and 4.8× longer at the median</w:t>
      </w:r>
      <w:r>
        <w:rPr>
          <w:rFonts w:ascii="Arial" w:hAnsi="Arial" w:eastAsia="Arial" w:cs="Arial"/>
          <w:b w:val="0"/>
          <w:i w:val="0"/>
          <w:color w:val="111827"/>
          <w:sz w:val="20"/>
        </w:rPr>
        <w:t>, and it is slower than conservative AASHRAY in 11,995 of 12,000 scenarios. AASHRAY's mean ranking decision takes 0.020 ms; the MILP spends 0.243 ms building the model and 2.230 ms in the solver on average. No significance test was performed on runtime.</w:t>
      </w:r>
    </w:p>
    <w:p>
      <w:pPr>
        <w:keepNext/>
        <w:widowControl/>
        <w:spacing w:before="120" w:after="0" w:line="240" w:lineRule="auto"/>
        <w:jc w:val="center"/>
      </w:pPr>
      <w:r>
        <w:drawing>
          <wp:inline xmlns:a="http://schemas.openxmlformats.org/drawingml/2006/main" xmlns:pic="http://schemas.openxmlformats.org/drawingml/2006/picture">
            <wp:extent cx="5041669" cy="2107276"/>
            <wp:docPr id="10" name="Picture 10"/>
            <wp:cNvGraphicFramePr>
              <a:graphicFrameLocks noChangeAspect="1"/>
            </wp:cNvGraphicFramePr>
            <a:graphic>
              <a:graphicData uri="http://schemas.openxmlformats.org/drawingml/2006/picture">
                <pic:pic>
                  <pic:nvPicPr>
                    <pic:cNvPr id="0" name="fig10_runtime.png"/>
                    <pic:cNvPicPr/>
                  </pic:nvPicPr>
                  <pic:blipFill>
                    <a:blip r:embed="rId21"/>
                    <a:stretch>
                      <a:fillRect/>
                    </a:stretch>
                  </pic:blipFill>
                  <pic:spPr>
                    <a:xfrm>
                      <a:off x="0" y="0"/>
                      <a:ext cx="5041669" cy="2107276"/>
                    </a:xfrm>
                    <a:prstGeom prst="rect"/>
                  </pic:spPr>
                </pic:pic>
              </a:graphicData>
            </a:graphic>
          </wp:inline>
        </w:drawing>
      </w:r>
    </w:p>
    <w:p>
      <w:pPr>
        <w:widowControl/>
        <w:spacing w:before="60" w:after="160" w:line="240" w:lineRule="auto"/>
        <w:jc w:val="center"/>
      </w:pPr>
      <w:r>
        <w:rPr>
          <w:rFonts w:ascii="Arial" w:hAnsi="Arial" w:eastAsia="Arial" w:cs="Arial"/>
          <w:b w:val="0"/>
          <w:i/>
          <w:color w:val="64748B"/>
          <w:sz w:val="17"/>
        </w:rPr>
        <w:t>Figure 10. Per-scenario runtime of AASHRAY (raw and conservative) and the MILP benchmark; raw AASHRAY timing is affected by execution order.</w:t>
      </w:r>
    </w:p>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8. Conclusion: What Has Been Shown</w:t>
      </w:r>
    </w:p>
    <w:p>
      <w:pPr>
        <w:widowControl/>
        <w:spacing w:before="0" w:after="120" w:line="264" w:lineRule="auto"/>
      </w:pPr>
      <w:r>
        <w:rPr>
          <w:rFonts w:ascii="Arial" w:hAnsi="Arial" w:eastAsia="Arial" w:cs="Arial"/>
          <w:b w:val="0"/>
          <w:i w:val="0"/>
          <w:color w:val="111827"/>
          <w:sz w:val="20"/>
        </w:rPr>
        <w:t>The results demonstrate that severity–urgency-based priority allocation substantially improves critical-demand coverage over arrival-order FCFS under the simulated resource constraints used in this experiment.</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Primary hypothesis:</w:t>
      </w:r>
      <w:r>
        <w:rPr>
          <w:rFonts w:ascii="Arial" w:hAnsi="Arial" w:eastAsia="Arial" w:cs="Arial"/>
          <w:b w:val="0"/>
          <w:i w:val="0"/>
          <w:color w:val="111827"/>
          <w:sz w:val="20"/>
        </w:rPr>
        <w:t xml:space="preserve"> under the fixed reference criticality rule, AASHRAY mean CDC = 0.9477 vs FCFS = 0.7363; H0 is rejected and the primary H1 is supported.</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Improvement:</w:t>
      </w:r>
      <w:r>
        <w:rPr>
          <w:rFonts w:ascii="Arial" w:hAnsi="Arial" w:eastAsia="Arial" w:cs="Arial"/>
          <w:b w:val="0"/>
          <w:i w:val="0"/>
          <w:color w:val="111827"/>
          <w:sz w:val="20"/>
        </w:rPr>
        <w:t xml:space="preserve"> +0.2114 absolute / +21.14 percentage points (+28.7% relative).</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Statistical significance:</w:t>
      </w:r>
      <w:r>
        <w:rPr>
          <w:rFonts w:ascii="Arial" w:hAnsi="Arial" w:eastAsia="Arial" w:cs="Arial"/>
          <w:b w:val="0"/>
          <w:i w:val="0"/>
          <w:color w:val="111827"/>
          <w:sz w:val="20"/>
        </w:rPr>
        <w:t xml:space="preserve"> paired sign-flip permutation p = 9.9999 × 10</w:t>
      </w:r>
      <w:r>
        <w:rPr>
          <w:rFonts w:ascii="Arial" w:hAnsi="Arial" w:eastAsia="Arial" w:cs="Arial"/>
          <w:b w:val="0"/>
          <w:i w:val="0"/>
          <w:color w:val="111827"/>
          <w:sz w:val="20"/>
          <w:vertAlign w:val="superscript"/>
        </w:rPr>
        <w:t>−6</w:t>
      </w:r>
      <w:r>
        <w:rPr>
          <w:rFonts w:ascii="Arial" w:hAnsi="Arial" w:eastAsia="Arial" w:cs="Arial"/>
          <w:b w:val="0"/>
          <w:i w:val="0"/>
          <w:color w:val="111827"/>
          <w:sz w:val="20"/>
        </w:rPr>
        <w:t xml:space="preserve"> (the minimum attainable with 100,000 permutations); the secondary Wilcoxon test agrees.</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95% CI:</w:t>
      </w:r>
      <w:r>
        <w:rPr>
          <w:rFonts w:ascii="Arial" w:hAnsi="Arial" w:eastAsia="Arial" w:cs="Arial"/>
          <w:b w:val="0"/>
          <w:i w:val="0"/>
          <w:color w:val="111827"/>
          <w:sz w:val="20"/>
        </w:rPr>
        <w:t xml:space="preserve"> [0.2053, 0.2177] (paired bootstrap, 10,000 resamples).</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Scarcity effect:</w:t>
      </w:r>
      <w:r>
        <w:rPr>
          <w:rFonts w:ascii="Arial" w:hAnsi="Arial" w:eastAsia="Arial" w:cs="Arial"/>
          <w:b w:val="0"/>
          <w:i w:val="0"/>
          <w:color w:val="111827"/>
          <w:sz w:val="20"/>
        </w:rPr>
        <w:t xml:space="preserve"> HIGH scarcity shows the largest benefit: 0.8968 vs 0.4958 CDC (+0.4009); at LOW scarcity all methods reach full GT-critical coverage.</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Optimization:</w:t>
      </w:r>
      <w:r>
        <w:rPr>
          <w:rFonts w:ascii="Arial" w:hAnsi="Arial" w:eastAsia="Arial" w:cs="Arial"/>
          <w:b w:val="0"/>
          <w:i w:val="0"/>
          <w:color w:val="111827"/>
          <w:sz w:val="20"/>
        </w:rPr>
        <w:t xml:space="preserve"> AASHRAY reaches the exact MILP optimum in 86.66% of scenarios and is within 10% in 91.50%; it is not optimal in every scenario (74.70% exact under HIGH scarcity, and 59 HIGH-scarcity scenarios with CDC = 0).</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Computational efficiency:</w:t>
      </w:r>
      <w:r>
        <w:rPr>
          <w:rFonts w:ascii="Arial" w:hAnsi="Arial" w:eastAsia="Arial" w:cs="Arial"/>
          <w:b w:val="0"/>
          <w:i w:val="0"/>
          <w:color w:val="111827"/>
          <w:sz w:val="20"/>
        </w:rPr>
        <w:t xml:space="preserve"> AASHRAY remains substantially cheaper computationally than MILP under the conservative runtime comparison (≈5.6× by total, ≈4.8× by median; descriptive and hardware/implementation dependent).</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Important qualification:</w:t>
      </w:r>
      <w:r>
        <w:rPr>
          <w:rFonts w:ascii="Arial" w:hAnsi="Arial" w:eastAsia="Arial" w:cs="Arial"/>
          <w:b w:val="0"/>
          <w:i w:val="0"/>
          <w:color w:val="111827"/>
          <w:sz w:val="20"/>
        </w:rPr>
        <w:t xml:space="preserve"> AASHRAY's final policy is exactly 0.5S + 0.5U; the geometric component was not part of the selected final ranking.</w:t>
      </w:r>
    </w:p>
    <w:p>
      <w:pPr>
        <w:widowControl/>
        <w:tabs>
          <w:tab w:pos="403" w:val="left"/>
        </w:tabs>
        <w:spacing w:before="0" w:after="60" w:line="264" w:lineRule="auto"/>
        <w:ind w:left="403" w:hanging="259"/>
      </w:pPr>
      <w:r>
        <w:rPr>
          <w:rFonts w:ascii="Arial" w:hAnsi="Arial" w:eastAsia="Arial" w:cs="Arial"/>
          <w:b w:val="0"/>
          <w:i w:val="0"/>
          <w:color w:val="111827"/>
          <w:sz w:val="20"/>
        </w:rPr>
        <w:t>•</w:t>
        <w:tab/>
      </w:r>
      <w:r>
        <w:rPr>
          <w:rFonts w:ascii="Arial" w:hAnsi="Arial" w:eastAsia="Arial" w:cs="Arial"/>
          <w:b/>
          <w:i w:val="0"/>
          <w:color w:val="111827"/>
          <w:sz w:val="20"/>
        </w:rPr>
        <w:t>Limitation:</w:t>
      </w:r>
      <w:r>
        <w:rPr>
          <w:rFonts w:ascii="Arial" w:hAnsi="Arial" w:eastAsia="Arial" w:cs="Arial"/>
          <w:b w:val="0"/>
          <w:i w:val="0"/>
          <w:color w:val="111827"/>
          <w:sz w:val="20"/>
        </w:rPr>
        <w:t xml:space="preserve"> the current optimization model does not include routing, vehicles, temporal constraints or compatibility.</w:t>
      </w:r>
    </w:p>
    <w:p>
      <w:pPr>
        <w:pStyle w:val="Heading2"/>
        <w:keepNext/>
        <w:widowControl/>
        <w:spacing w:before="160" w:after="80" w:line="240" w:lineRule="auto"/>
      </w:pPr>
      <w:r>
        <w:rPr>
          <w:rFonts w:ascii="Arial" w:hAnsi="Arial" w:eastAsia="Arial" w:cs="Arial"/>
          <w:b/>
          <w:i w:val="0"/>
          <w:color w:val="000000"/>
          <w:sz w:val="22"/>
        </w:rPr>
        <w:t>Limitations</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1.</w:t>
        <w:tab/>
        <w:t>The scenarios are synthetic rather than real operational disaster events.</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2.</w:t>
        <w:tab/>
        <w:t>GT-criticality is a fixed simulation reference rule derived from the same S and U variables as the priority score, not an externally validated clinical or operational standard.</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3.</w:t>
        <w:tab/>
        <w:t>The current allocator has no vehicle, routing, temporal, compatibility or geographic constraints.</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4.</w:t>
        <w:tab/>
        <w:t>Therefore the MILP benchmark represents an allocation-only optimization problem, whose optimum has a closed form.</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5.</w:t>
        <w:tab/>
        <w:t>The selected AASHRAY policy is linear: P = 0.5S + 0.5U.</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6.</w:t>
        <w:tab/>
        <w:t>The experiment does not establish that the geometric priority formulation is superior.</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7.</w:t>
        <w:tab/>
        <w:t>The runtime comparison has an execution-order/warm-cache limitation; only the conservative estimate is used for the main runtime conclusion.</w:t>
      </w:r>
    </w:p>
    <w:p>
      <w:pPr>
        <w:keepNext w:val="0"/>
        <w:widowControl/>
        <w:tabs>
          <w:tab w:pos="432" w:val="left"/>
        </w:tabs>
        <w:spacing w:before="0" w:after="60" w:line="264" w:lineRule="auto"/>
        <w:ind w:left="432" w:hanging="259"/>
      </w:pPr>
      <w:r>
        <w:rPr>
          <w:rFonts w:ascii="Arial" w:hAnsi="Arial" w:eastAsia="Arial" w:cs="Arial"/>
          <w:b w:val="0"/>
          <w:i w:val="0"/>
          <w:color w:val="111827"/>
          <w:sz w:val="20"/>
        </w:rPr>
        <w:t>8.</w:t>
        <w:tab/>
        <w:t>AASHRAY is not optimal in every scenario, particularly under HIGH scarcity (74.70% exact; 59 scenarios with CDC = 0).</w:t>
      </w:r>
    </w:p>
    <w:p>
      <w:pPr>
        <w:keepNext/>
        <w:widowControl/>
        <w:tabs>
          <w:tab w:pos="432" w:val="left"/>
        </w:tabs>
        <w:spacing w:before="0" w:after="60" w:line="264" w:lineRule="auto"/>
        <w:ind w:left="432" w:hanging="259"/>
      </w:pPr>
      <w:r>
        <w:rPr>
          <w:rFonts w:ascii="Arial" w:hAnsi="Arial" w:eastAsia="Arial" w:cs="Arial"/>
          <w:b w:val="0"/>
          <w:i w:val="0"/>
          <w:color w:val="111827"/>
          <w:sz w:val="20"/>
        </w:rPr>
        <w:t>9.</w:t>
        <w:tab/>
        <w:t>The result demonstrates resource-allocation performance, not the performance of the entire end-to-end AASHRAY pipeline.</w:t>
      </w:r>
    </w:p>
    <w:p>
      <w:pPr>
        <w:keepNext/>
        <w:keepLines/>
        <w:widowControl/>
        <w:spacing w:before="160" w:after="80" w:line="264" w:lineRule="auto"/>
      </w:pPr>
      <w:r>
        <w:rPr>
          <w:rFonts w:ascii="Arial" w:hAnsi="Arial" w:eastAsia="Arial" w:cs="Arial"/>
          <w:b/>
          <w:i w:val="0"/>
          <w:color w:val="111827"/>
          <w:sz w:val="20"/>
        </w:rPr>
        <w:t>Overall: Under the fixed reference criticality rule used in this experiment, AASHRAY substantially improves critical-demand coverage over arrival-order FCFS. Mean CDC increased from 0.7363 to 0.9477, an absolute improvement of 0.2114. The improvement is especially pronounced under HIGH resource scarcity, where CDC increased from 0.4958 to 0.8968. AASHRAY also reaches the MILP optimum in 86.66% of scenarios and remains within 10% of the optimum in 91.50% of scenarios.</w:t>
      </w:r>
    </w:p>
    <w:p>
      <w:pPr>
        <w:keepLines/>
        <w:widowControl/>
        <w:spacing w:before="0" w:after="80" w:line="264" w:lineRule="auto"/>
      </w:pPr>
      <w:r>
        <w:rPr>
          <w:rFonts w:ascii="Arial" w:hAnsi="Arial" w:eastAsia="Arial" w:cs="Arial"/>
          <w:b w:val="0"/>
          <w:i w:val="0"/>
          <w:color w:val="111827"/>
          <w:sz w:val="20"/>
        </w:rPr>
        <w:t>These results support the effectiveness of the AASHRAY resource-allocation component under the simulated allocation model and reference criticality criterion. They should not be interpreted as validation of real-world disaster-response performance, since the scenarios and reference criticality rule are synthetic and the current allocation model does not include routing, vehicle, temporal, geographic, or resource-compatibility constraints.</w:t>
      </w:r>
    </w:p>
    <w:p>
      <w:pPr>
        <w:pStyle w:val="Heading1"/>
        <w:keepNext/>
        <w:widowControl/>
        <w:pBdr>
          <w:bottom w:val="single" w:sz="8" w:space="3" w:color="1D4ED8"/>
        </w:pBdr>
        <w:spacing w:before="260" w:after="120" w:line="240" w:lineRule="auto"/>
      </w:pPr>
      <w:r>
        <w:rPr>
          <w:rFonts w:ascii="Arial" w:hAnsi="Arial" w:eastAsia="Arial" w:cs="Arial"/>
          <w:b/>
          <w:i w:val="0"/>
          <w:color w:val="0F172A"/>
          <w:sz w:val="30"/>
        </w:rPr>
        <w:t>Appendix: Provenance and Notes on Reported Values</w:t>
      </w:r>
    </w:p>
    <w:p>
      <w:pPr>
        <w:widowControl/>
        <w:spacing w:before="0" w:after="100" w:line="264" w:lineRule="auto"/>
      </w:pPr>
      <w:r>
        <w:rPr>
          <w:rFonts w:ascii="Arial" w:hAnsi="Arial" w:eastAsia="Arial" w:cs="Arial"/>
          <w:b/>
          <w:i w:val="0"/>
          <w:color w:val="111827"/>
          <w:sz w:val="17"/>
        </w:rPr>
        <w:t>Source of truth.</w:t>
      </w:r>
      <w:r>
        <w:rPr>
          <w:rFonts w:ascii="Arial" w:hAnsi="Arial" w:eastAsia="Arial" w:cs="Arial"/>
          <w:b w:val="0"/>
          <w:i w:val="0"/>
          <w:color w:val="111827"/>
          <w:sz w:val="17"/>
        </w:rPr>
        <w:t xml:space="preserve"> experiments/resource_allocation_final/ — results/final_scenario_results.csv, final_summary.json, final_statistical_tests.json, final_win_tie_loss.csv, validation_report.json, gate_report.json, run_metadata.json, environment.json, dataset_freeze.json, generator_equivalence.json, file_hash_manifest.json; config/final_config.json; data/final_12000_scenarios.json. Official run 12e24320131d4603b1b2cd875ee4ad93, started 2026-10-07 20:28:39 UTC; repository commit 8b90223 (the experiment folders are untracked; file_hash_manifest.json identifies them).</w:t>
      </w:r>
    </w:p>
    <w:p>
      <w:pPr>
        <w:widowControl/>
        <w:spacing w:before="0" w:after="100" w:line="264" w:lineRule="auto"/>
      </w:pPr>
      <w:r>
        <w:rPr>
          <w:rFonts w:ascii="Arial" w:hAnsi="Arial" w:eastAsia="Arial" w:cs="Arial"/>
          <w:b/>
          <w:i w:val="0"/>
          <w:color w:val="111827"/>
          <w:sz w:val="17"/>
        </w:rPr>
        <w:t>Report artefacts.</w:t>
      </w:r>
      <w:r>
        <w:rPr>
          <w:rFonts w:ascii="Arial" w:hAnsi="Arial" w:eastAsia="Arial" w:cs="Arial"/>
          <w:b w:val="0"/>
          <w:i w:val="0"/>
          <w:color w:val="111827"/>
          <w:sz w:val="17"/>
        </w:rPr>
        <w:t xml:space="preserve"> reports/resource_allocation_hypothesis_report/scripts/ (prepare_report_data.py, make_charts.py, build_report.py). Charts are drawn from final_scenario_results.csv or from the bootstrap regenerated with seed 20261211 (reproduces the stored interval exactly).</w:t>
      </w:r>
    </w:p>
    <w:p>
      <w:pPr>
        <w:widowControl/>
        <w:spacing w:before="0" w:after="40" w:line="264" w:lineRule="auto"/>
      </w:pPr>
      <w:r>
        <w:rPr>
          <w:rFonts w:ascii="Arial" w:hAnsi="Arial" w:eastAsia="Arial" w:cs="Arial"/>
          <w:b/>
          <w:i w:val="0"/>
          <w:color w:val="111827"/>
          <w:sz w:val="17"/>
        </w:rPr>
        <w:t>Values that differ from the report brief</w:t>
      </w:r>
      <w:r>
        <w:rPr>
          <w:rFonts w:ascii="Arial" w:hAnsi="Arial" w:eastAsia="Arial" w:cs="Arial"/>
          <w:b w:val="0"/>
          <w:i w:val="0"/>
          <w:color w:val="111827"/>
          <w:sz w:val="17"/>
        </w:rPr>
        <w:t xml:space="preserve"> (the validated result files were used):</w:t>
      </w:r>
    </w:p>
    <w:p>
      <w:pPr>
        <w:widowControl/>
        <w:tabs>
          <w:tab w:pos="403" w:val="left"/>
        </w:tabs>
        <w:spacing w:before="0" w:after="40" w:line="264" w:lineRule="auto"/>
        <w:ind w:left="403" w:hanging="259"/>
      </w:pPr>
      <w:r>
        <w:rPr>
          <w:rFonts w:ascii="Arial" w:hAnsi="Arial" w:eastAsia="Arial" w:cs="Arial"/>
          <w:b w:val="0"/>
          <w:i w:val="0"/>
          <w:color w:val="111827"/>
          <w:sz w:val="17"/>
        </w:rPr>
        <w:t>•</w:t>
        <w:tab/>
        <w:t>Scarcity table, 'AASHRAY−MILP' column: the brief's 0.0012 / 0.0691 are mean relative optimality gaps; the difference of means is −0.0012 / −0.0669. The column is labelled as the mean optimality gap.</w:t>
      </w:r>
    </w:p>
    <w:p>
      <w:pPr>
        <w:widowControl/>
        <w:tabs>
          <w:tab w:pos="403" w:val="left"/>
        </w:tabs>
        <w:spacing w:before="0" w:after="40" w:line="264" w:lineRule="auto"/>
        <w:ind w:left="403" w:hanging="259"/>
      </w:pPr>
      <w:r>
        <w:rPr>
          <w:rFonts w:ascii="Arial" w:hAnsi="Arial" w:eastAsia="Arial" w:cs="Arial"/>
          <w:b w:val="0"/>
          <w:i w:val="0"/>
          <w:color w:val="111827"/>
          <w:sz w:val="17"/>
        </w:rPr>
        <w:t>•</w:t>
        <w:tab/>
        <w:t>Within-5% rate: the brief's 90.1% is 90.05% exactly (10,806 / 12,000); rates are reported to two decimals (86.7%, 88.4% and 91.5% in the brief appear as 86.66%, 88.41% and 91.50%).</w:t>
      </w:r>
    </w:p>
    <w:p>
      <w:pPr>
        <w:widowControl/>
        <w:tabs>
          <w:tab w:pos="403" w:val="left"/>
        </w:tabs>
        <w:spacing w:before="0" w:after="40" w:line="264" w:lineRule="auto"/>
        <w:ind w:left="403" w:hanging="259"/>
      </w:pPr>
      <w:r>
        <w:rPr>
          <w:rFonts w:ascii="Arial" w:hAnsi="Arial" w:eastAsia="Arial" w:cs="Arial"/>
          <w:b w:val="0"/>
          <w:i w:val="0"/>
          <w:color w:val="111827"/>
          <w:sz w:val="17"/>
        </w:rPr>
        <w:t>•</w:t>
        <w:tab/>
        <w:t>Runtime means: the brief's 0.248 ms (AASHRAY) and 2.473 ms (MILP) are double-rounded; exact values 0.247476 and 2.472461 ms, i.e. 0.247 and 2.472 ms (the experiment README, left unchanged, has the same rounding). That AASHRAY value is the raw, order-affected mean; the conservative mean is 0.440 ms. Both are shown and labelled.</w:t>
      </w:r>
    </w:p>
    <w:sectPr w:rsidR="00FC693F" w:rsidRPr="0006063C" w:rsidSect="00034616">
      <w:footerReference w:type="default" r:id="rId9"/>
      <w:footerReference w:type="first" r:id="rId10"/>
      <w:headerReference w:type="default" r:id="rId11"/>
      <w:pgSz w:w="11909" w:h="16834"/>
      <w:pgMar w:top="1037" w:right="1008" w:bottom="979" w:left="1008" w:header="518"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Arial" w:hAnsi="Arial" w:eastAsia="Arial" w:cs="Arial"/>
        <w:b w:val="0"/>
        <w:i w:val="0"/>
        <w:color w:val="64748B"/>
        <w:sz w:val="16"/>
      </w:rPr>
      <w:t xml:space="preserve">AASHRAY | Hypothesis Testing Report | Page </w:t>
    </w:r>
    <w:r>
      <w:fldChar w:fldCharType="begin"/>
    </w:r>
    <w:r>
      <w:rPr>
        <w:rFonts w:ascii="Arial" w:hAnsi="Arial" w:eastAsia="Arial" w:cs="Arial"/>
        <w:color w:val="64748B"/>
        <w:sz w:val="16"/>
      </w:rPr>
      <w:instrText xml:space="preserve"> PAGE </w:instrText>
    </w:r>
    <w:r>
      <w:fldChar w:fldCharType="separate"/>
    </w:r>
    <w:r>
      <w:rPr>
        <w:rFonts w:ascii="Arial" w:hAnsi="Arial" w:eastAsia="Arial" w:cs="Arial"/>
        <w:color w:val="64748B"/>
        <w:sz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center"/>
    </w:pPr>
    <w:r>
      <w:rPr>
        <w:rFonts w:ascii="Arial" w:hAnsi="Arial" w:eastAsia="Arial" w:cs="Arial"/>
        <w:b w:val="0"/>
        <w:i w:val="0"/>
        <w:color w:val="64748B"/>
        <w:sz w:val="16"/>
      </w:rPr>
      <w:t xml:space="preserve">AASHRAY | Hypothesis Testing Report | Page </w:t>
    </w:r>
    <w:r>
      <w:fldChar w:fldCharType="begin"/>
    </w:r>
    <w:r>
      <w:rPr>
        <w:rFonts w:ascii="Arial" w:hAnsi="Arial" w:eastAsia="Arial" w:cs="Arial"/>
        <w:color w:val="64748B"/>
        <w:sz w:val="16"/>
      </w:rPr>
      <w:instrText xml:space="preserve"> PAGE </w:instrText>
    </w:r>
    <w:r>
      <w:fldChar w:fldCharType="separate"/>
    </w:r>
    <w:r>
      <w:rPr>
        <w:rFonts w:ascii="Arial" w:hAnsi="Arial" w:eastAsia="Arial" w:cs="Arial"/>
        <w:color w:val="64748B"/>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pBdr>
        <w:bottom w:val="single" w:sz="4" w:space="3" w:color="CBD5E1"/>
      </w:pBdr>
      <w:tabs>
        <w:tab w:pos="9893" w:val="right"/>
      </w:tabs>
      <w:spacing w:before="0" w:after="0" w:line="240" w:lineRule="auto"/>
    </w:pPr>
    <w:r>
      <w:rPr>
        <w:rFonts w:ascii="Arial" w:hAnsi="Arial" w:eastAsia="Arial" w:cs="Arial"/>
        <w:b/>
        <w:i w:val="0"/>
        <w:color w:val="1D4ED8"/>
        <w:sz w:val="16"/>
      </w:rPr>
      <w:t>AASHRAY</w:t>
    </w:r>
    <w:r>
      <w:rPr>
        <w:rFonts w:ascii="Arial" w:hAnsi="Arial" w:eastAsia="Arial" w:cs="Arial"/>
        <w:b w:val="0"/>
        <w:i w:val="0"/>
        <w:color w:val="64748B"/>
        <w:sz w:val="16"/>
      </w:rPr>
      <w:tab/>
      <w:t>Hypothesis Testing Report — Impact-Driven Resource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eastAsia="Arial" w:cs="Arial"/>
      <w:b/>
      <w:bCs/>
      <w:i w:val="0"/>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eastAsia="Arial" w:cs="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i w:val="0"/>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AASHRAY: Hypothesis Testing Report — Impact-Driven Resource Allocation</dc:title>
  <dc:subject>Final pre-registered 12,000-scenario resource-allocation experiment: FCFS vs AASHRAY vs MILP</dc:subject>
  <dc:creator>AASHRAY project</dc:creator>
  <cp:keywords>AASHRAY; hypothesis test; resource allocation; critical demand coverage; MILP</cp:keywords>
  <dc:description>Generated by reports/resource_allocation_hypothesis_report/scripts/build_report.py</dc:description>
  <cp:lastModifiedBy/>
  <cp:revision>1</cp:revision>
  <dcterms:created xsi:type="dcterms:W3CDTF">2013-12-23T23:15:00Z</dcterms:created>
  <dcterms:modified xsi:type="dcterms:W3CDTF">2013-12-23T23:15:00Z</dcterms:modified>
  <cp:category/>
</cp:coreProperties>
</file>