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B99EC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1F3A60"/>
        </w:rPr>
        <w:t>TSHWANE UNIVERSITY OF TECHNOLOGY</w:t>
      </w:r>
      <w:r>
        <w:rPr>
          <w:rFonts w:ascii="Times New Roman" w:hAnsi="Times New Roman" w:cs="Times New Roman"/>
          <w:b/>
          <w:color w:val="1F3A60"/>
        </w:rPr>
        <w:br w:type="textWrapping"/>
      </w:r>
      <w:r>
        <w:rPr>
          <w:rFonts w:ascii="Times New Roman" w:hAnsi="Times New Roman" w:cs="Times New Roman"/>
          <w:b/>
          <w:color w:val="1F3A60"/>
        </w:rPr>
        <w:t>Faculty of Information and Communication Technology</w:t>
      </w:r>
      <w:r>
        <w:rPr>
          <w:rFonts w:ascii="Times New Roman" w:hAnsi="Times New Roman" w:cs="Times New Roman"/>
          <w:b/>
          <w:color w:val="1F3A60"/>
        </w:rPr>
        <w:br w:type="textWrapping"/>
      </w:r>
      <w:r>
        <w:rPr>
          <w:rFonts w:ascii="Times New Roman" w:hAnsi="Times New Roman" w:cs="Times New Roman"/>
          <w:b/>
          <w:color w:val="1F3A60"/>
        </w:rPr>
        <w:t>Department of Computer Science</w:t>
      </w:r>
    </w:p>
    <w:p w14:paraId="170C1C85">
      <w:pPr>
        <w:spacing w:before="240" w:after="4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D97706"/>
          <w:sz w:val="28"/>
        </w:rPr>
        <w:t>Joint Group Assignment 2026: Mathematics Appendix</w:t>
      </w:r>
      <w:r>
        <w:rPr>
          <w:rFonts w:ascii="Times New Roman" w:hAnsi="Times New Roman" w:cs="Times New Roman"/>
          <w:b/>
          <w:color w:val="D97706"/>
          <w:sz w:val="28"/>
        </w:rPr>
        <w:br w:type="textWrapping"/>
      </w:r>
      <w:r>
        <w:rPr>
          <w:rFonts w:ascii="Times New Roman" w:hAnsi="Times New Roman" w:cs="Times New Roman"/>
          <w:b/>
          <w:color w:val="D97706"/>
          <w:sz w:val="28"/>
        </w:rPr>
        <w:t>Computational Mathematics (COHF05D / CHOF05D) | Digital Entrepreneurship</w:t>
      </w:r>
    </w:p>
    <w:tbl>
      <w:tblPr>
        <w:tblStyle w:val="12"/>
        <w:tblW w:w="0" w:type="auto"/>
        <w:jc w:val="center"/>
        <w:tblBorders>
          <w:top w:val="single" w:color="CCCCCC" w:sz="4" w:space="0"/>
          <w:left w:val="none" w:color="auto" w:sz="0" w:space="0"/>
          <w:bottom w:val="single" w:color="888888" w:sz="6" w:space="0"/>
          <w:right w:val="none" w:color="auto" w:sz="0" w:space="0"/>
          <w:insideH w:val="single" w:color="E0E0E0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5760"/>
      </w:tblGrid>
      <w:tr w14:paraId="4E742D98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F2F4F7"/>
          </w:tcPr>
          <w:p w14:paraId="46AEDB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Group Name</w:t>
            </w:r>
          </w:p>
        </w:tc>
        <w:tc>
          <w:tcPr>
            <w:tcW w:w="5760" w:type="dxa"/>
          </w:tcPr>
          <w:p w14:paraId="3D38FD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Fantastic 4</w:t>
            </w:r>
          </w:p>
        </w:tc>
      </w:tr>
      <w:tr w14:paraId="0ACAF342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F2F4F7"/>
          </w:tcPr>
          <w:p w14:paraId="5A060E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Project Title</w:t>
            </w:r>
          </w:p>
        </w:tc>
        <w:tc>
          <w:tcPr>
            <w:tcW w:w="5760" w:type="dxa"/>
          </w:tcPr>
          <w:p w14:paraId="3575FF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Spaza Supply - Digital B2B Shared Logistics Platform</w:t>
            </w:r>
          </w:p>
        </w:tc>
      </w:tr>
      <w:tr w14:paraId="7CC620E1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F2F4F7"/>
          </w:tcPr>
          <w:p w14:paraId="26E2EE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Target Domain</w:t>
            </w:r>
          </w:p>
        </w:tc>
        <w:tc>
          <w:tcPr>
            <w:tcW w:w="5760" w:type="dxa"/>
          </w:tcPr>
          <w:p w14:paraId="6ADB5E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Township Retail &amp; Cooperative Buying Networks</w:t>
            </w:r>
          </w:p>
        </w:tc>
      </w:tr>
    </w:tbl>
    <w:p w14:paraId="57E84EA6">
      <w:pPr>
        <w:spacing w:after="240"/>
        <w:rPr>
          <w:rFonts w:ascii="Times New Roman" w:hAnsi="Times New Roman" w:cs="Times New Roman"/>
        </w:rPr>
      </w:pPr>
    </w:p>
    <w:p w14:paraId="061E1A56">
      <w:pPr>
        <w:keepNext/>
        <w:spacing w:before="360"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1F3A60"/>
          <w:sz w:val="32"/>
        </w:rPr>
        <w:t>Section 0: Group Members Register</w:t>
      </w:r>
    </w:p>
    <w:tbl>
      <w:tblPr>
        <w:tblStyle w:val="12"/>
        <w:tblW w:w="0" w:type="auto"/>
        <w:jc w:val="center"/>
        <w:tblBorders>
          <w:top w:val="single" w:color="CCCCCC" w:sz="4" w:space="0"/>
          <w:left w:val="none" w:color="auto" w:sz="0" w:space="0"/>
          <w:bottom w:val="single" w:color="888888" w:sz="6" w:space="0"/>
          <w:right w:val="none" w:color="auto" w:sz="0" w:space="0"/>
          <w:insideH w:val="single" w:color="E0E0E0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BF0CA16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1F3A60"/>
          </w:tcPr>
          <w:p w14:paraId="4BE51B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</w:rPr>
              <w:t>No.</w:t>
            </w:r>
          </w:p>
        </w:tc>
        <w:tc>
          <w:tcPr>
            <w:tcW w:w="3120" w:type="dxa"/>
            <w:shd w:val="clear" w:color="auto" w:fill="1F3A60"/>
          </w:tcPr>
          <w:p w14:paraId="2F5DCC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</w:rPr>
              <w:t>Group Member Full Name</w:t>
            </w:r>
          </w:p>
        </w:tc>
        <w:tc>
          <w:tcPr>
            <w:tcW w:w="3120" w:type="dxa"/>
            <w:shd w:val="clear" w:color="auto" w:fill="1F3A60"/>
          </w:tcPr>
          <w:p w14:paraId="3C6A0F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</w:rPr>
              <w:t>Student Number</w:t>
            </w:r>
          </w:p>
        </w:tc>
      </w:tr>
      <w:tr w14:paraId="2DCC1825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F859E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20" w:type="dxa"/>
          </w:tcPr>
          <w:p w14:paraId="741FC0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Baloyi H             </w:t>
            </w:r>
          </w:p>
        </w:tc>
        <w:tc>
          <w:tcPr>
            <w:tcW w:w="3120" w:type="dxa"/>
          </w:tcPr>
          <w:p w14:paraId="0136C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240704323</w:t>
            </w:r>
          </w:p>
        </w:tc>
      </w:tr>
      <w:tr w14:paraId="021C510A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9FAFB"/>
          </w:tcPr>
          <w:p w14:paraId="09C71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20" w:type="dxa"/>
            <w:shd w:val="clear" w:color="auto" w:fill="F9FAFB"/>
          </w:tcPr>
          <w:p w14:paraId="361D17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Nkabane.L</w:t>
            </w:r>
          </w:p>
        </w:tc>
        <w:tc>
          <w:tcPr>
            <w:tcW w:w="3120" w:type="dxa"/>
            <w:shd w:val="clear" w:color="auto" w:fill="F9FAFB"/>
          </w:tcPr>
          <w:p w14:paraId="15192E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261330520</w:t>
            </w:r>
          </w:p>
        </w:tc>
      </w:tr>
      <w:tr w14:paraId="7203E9DC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35D90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20" w:type="dxa"/>
          </w:tcPr>
          <w:p w14:paraId="07787F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Ndlovu.PT</w:t>
            </w:r>
          </w:p>
        </w:tc>
        <w:tc>
          <w:tcPr>
            <w:tcW w:w="3120" w:type="dxa"/>
          </w:tcPr>
          <w:p w14:paraId="34AD28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251041377</w:t>
            </w:r>
          </w:p>
        </w:tc>
      </w:tr>
      <w:tr w14:paraId="1ECD5621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9FAFB"/>
          </w:tcPr>
          <w:p w14:paraId="1B2F9A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20" w:type="dxa"/>
            <w:shd w:val="clear" w:color="auto" w:fill="F9FAFB"/>
          </w:tcPr>
          <w:p w14:paraId="0C470A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Komape.KL</w:t>
            </w:r>
          </w:p>
        </w:tc>
        <w:tc>
          <w:tcPr>
            <w:tcW w:w="3120" w:type="dxa"/>
            <w:shd w:val="clear" w:color="auto" w:fill="F9FAFB"/>
          </w:tcPr>
          <w:p w14:paraId="1C7710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260868829</w:t>
            </w:r>
          </w:p>
        </w:tc>
      </w:tr>
      <w:tr w14:paraId="33304CB9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466E03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20" w:type="dxa"/>
          </w:tcPr>
          <w:p w14:paraId="0598C5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Maphoso.MA</w:t>
            </w:r>
          </w:p>
        </w:tc>
        <w:tc>
          <w:tcPr>
            <w:tcW w:w="3120" w:type="dxa"/>
          </w:tcPr>
          <w:p w14:paraId="50ED1A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250835922</w:t>
            </w:r>
          </w:p>
        </w:tc>
      </w:tr>
      <w:tr w14:paraId="4A290ADF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9FAFB"/>
          </w:tcPr>
          <w:p w14:paraId="5EFC2A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20" w:type="dxa"/>
            <w:shd w:val="clear" w:color="auto" w:fill="F9FAFB"/>
          </w:tcPr>
          <w:p w14:paraId="0AFC18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Ngobeni.NJ</w:t>
            </w:r>
          </w:p>
        </w:tc>
        <w:tc>
          <w:tcPr>
            <w:tcW w:w="3120" w:type="dxa"/>
            <w:shd w:val="clear" w:color="auto" w:fill="F9FAFB"/>
          </w:tcPr>
          <w:p w14:paraId="044AF1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260284398</w:t>
            </w:r>
          </w:p>
        </w:tc>
      </w:tr>
      <w:tr w14:paraId="1C87E2EE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2392E8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20" w:type="dxa"/>
          </w:tcPr>
          <w:p w14:paraId="55F6E7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Zungu.MS</w:t>
            </w:r>
          </w:p>
        </w:tc>
        <w:tc>
          <w:tcPr>
            <w:tcW w:w="3120" w:type="dxa"/>
          </w:tcPr>
          <w:p w14:paraId="7C211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242098501</w:t>
            </w:r>
          </w:p>
        </w:tc>
      </w:tr>
      <w:tr w14:paraId="490E9692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9FAFB"/>
          </w:tcPr>
          <w:p w14:paraId="241984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120" w:type="dxa"/>
            <w:shd w:val="clear" w:color="auto" w:fill="F9FAFB"/>
          </w:tcPr>
          <w:p w14:paraId="020F2D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  <w:shd w:val="clear" w:color="auto" w:fill="F9FAFB"/>
          </w:tcPr>
          <w:p w14:paraId="1B4BE14A">
            <w:pPr>
              <w:rPr>
                <w:rFonts w:ascii="Times New Roman" w:hAnsi="Times New Roman" w:cs="Times New Roman"/>
              </w:rPr>
            </w:pPr>
          </w:p>
        </w:tc>
      </w:tr>
      <w:tr w14:paraId="0D35CAF7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4FB342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120" w:type="dxa"/>
          </w:tcPr>
          <w:p w14:paraId="2B1830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</w:tcPr>
          <w:p w14:paraId="59FE55FE">
            <w:pPr>
              <w:rPr>
                <w:rFonts w:ascii="Times New Roman" w:hAnsi="Times New Roman" w:cs="Times New Roman"/>
              </w:rPr>
            </w:pPr>
          </w:p>
        </w:tc>
      </w:tr>
      <w:tr w14:paraId="2AD61DA3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9FAFB"/>
          </w:tcPr>
          <w:p w14:paraId="63B829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120" w:type="dxa"/>
            <w:shd w:val="clear" w:color="auto" w:fill="F9FAFB"/>
          </w:tcPr>
          <w:p w14:paraId="2B1B9B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  <w:shd w:val="clear" w:color="auto" w:fill="F9FAFB"/>
          </w:tcPr>
          <w:p w14:paraId="5D373AC2">
            <w:pPr>
              <w:rPr>
                <w:rFonts w:ascii="Times New Roman" w:hAnsi="Times New Roman" w:cs="Times New Roman"/>
              </w:rPr>
            </w:pPr>
          </w:p>
        </w:tc>
      </w:tr>
    </w:tbl>
    <w:p w14:paraId="13E32242">
      <w:pPr>
        <w:keepNext/>
        <w:spacing w:before="360" w:after="120"/>
        <w:rPr>
          <w:rFonts w:ascii="Times New Roman" w:hAnsi="Times New Roman" w:cs="Times New Roman"/>
          <w:b/>
          <w:color w:val="1F3A60"/>
          <w:sz w:val="32"/>
        </w:rPr>
      </w:pPr>
    </w:p>
    <w:p w14:paraId="0F9E0DF1">
      <w:pPr>
        <w:keepNext/>
        <w:spacing w:before="360"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1F3A60"/>
          <w:sz w:val="32"/>
        </w:rPr>
        <w:t>Section 1: Variable Dictionary</w:t>
      </w:r>
    </w:p>
    <w:p w14:paraId="3D898A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Every dynamic metric and constant parameter used in our platform equations, database models, and code implementation is defined below:</w:t>
      </w:r>
    </w:p>
    <w:tbl>
      <w:tblPr>
        <w:tblStyle w:val="12"/>
        <w:tblW w:w="0" w:type="auto"/>
        <w:jc w:val="center"/>
        <w:tblBorders>
          <w:top w:val="single" w:color="CCCCCC" w:sz="4" w:space="0"/>
          <w:left w:val="none" w:color="auto" w:sz="0" w:space="0"/>
          <w:bottom w:val="single" w:color="888888" w:sz="6" w:space="0"/>
          <w:right w:val="none" w:color="auto" w:sz="0" w:space="0"/>
          <w:insideH w:val="single" w:color="E0E0E0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06D9B47A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F3A60"/>
          </w:tcPr>
          <w:p w14:paraId="609DBE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</w:rPr>
              <w:t>Symbol</w:t>
            </w:r>
          </w:p>
        </w:tc>
        <w:tc>
          <w:tcPr>
            <w:tcW w:w="1872" w:type="dxa"/>
            <w:shd w:val="clear" w:color="auto" w:fill="1F3A60"/>
          </w:tcPr>
          <w:p w14:paraId="1EB23A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</w:rPr>
              <w:t>Name / Description</w:t>
            </w:r>
          </w:p>
        </w:tc>
        <w:tc>
          <w:tcPr>
            <w:tcW w:w="1872" w:type="dxa"/>
            <w:shd w:val="clear" w:color="auto" w:fill="1F3A60"/>
          </w:tcPr>
          <w:p w14:paraId="367287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</w:rPr>
              <w:t>Type</w:t>
            </w:r>
          </w:p>
        </w:tc>
        <w:tc>
          <w:tcPr>
            <w:tcW w:w="1872" w:type="dxa"/>
            <w:shd w:val="clear" w:color="auto" w:fill="1F3A60"/>
          </w:tcPr>
          <w:p w14:paraId="62CF39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</w:rPr>
              <w:t>Unit</w:t>
            </w:r>
          </w:p>
        </w:tc>
        <w:tc>
          <w:tcPr>
            <w:tcW w:w="1872" w:type="dxa"/>
            <w:shd w:val="clear" w:color="auto" w:fill="1F3A60"/>
          </w:tcPr>
          <w:p w14:paraId="42CE7E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</w:rPr>
              <w:t>Source / Standard Value</w:t>
            </w:r>
          </w:p>
        </w:tc>
      </w:tr>
      <w:tr w14:paraId="0BA5C8DD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68ED6A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q</w:t>
            </w:r>
          </w:p>
        </w:tc>
        <w:tc>
          <w:tcPr>
            <w:tcW w:w="1872" w:type="dxa"/>
          </w:tcPr>
          <w:p w14:paraId="771074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Quantity of bulk goods cases ordered</w:t>
            </w:r>
          </w:p>
        </w:tc>
        <w:tc>
          <w:tcPr>
            <w:tcW w:w="1872" w:type="dxa"/>
          </w:tcPr>
          <w:p w14:paraId="4D5DDE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1872" w:type="dxa"/>
          </w:tcPr>
          <w:p w14:paraId="253B06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Cases</w:t>
            </w:r>
          </w:p>
        </w:tc>
        <w:tc>
          <w:tcPr>
            <w:tcW w:w="1872" w:type="dxa"/>
          </w:tcPr>
          <w:p w14:paraId="647F88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Determined dynamically by merchant checkout.</w:t>
            </w:r>
          </w:p>
        </w:tc>
      </w:tr>
      <w:tr w14:paraId="456106E1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B"/>
          </w:tcPr>
          <w:p w14:paraId="721778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C_w</w:t>
            </w:r>
          </w:p>
        </w:tc>
        <w:tc>
          <w:tcPr>
            <w:tcW w:w="1872" w:type="dxa"/>
            <w:shd w:val="clear" w:color="auto" w:fill="F9FAFB"/>
          </w:tcPr>
          <w:p w14:paraId="097BE1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Base wholesale cost per case from manufacturer</w:t>
            </w:r>
          </w:p>
        </w:tc>
        <w:tc>
          <w:tcPr>
            <w:tcW w:w="1872" w:type="dxa"/>
            <w:shd w:val="clear" w:color="auto" w:fill="F9FAFB"/>
          </w:tcPr>
          <w:p w14:paraId="7084E9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1872" w:type="dxa"/>
            <w:shd w:val="clear" w:color="auto" w:fill="F9FAFB"/>
          </w:tcPr>
          <w:p w14:paraId="360621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ZAR (R)</w:t>
            </w:r>
          </w:p>
        </w:tc>
        <w:tc>
          <w:tcPr>
            <w:tcW w:w="1872" w:type="dxa"/>
            <w:shd w:val="clear" w:color="auto" w:fill="F9FAFB"/>
          </w:tcPr>
          <w:p w14:paraId="2435F7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Manufacturer price list (e.g., R 150.00).</w:t>
            </w:r>
          </w:p>
        </w:tc>
      </w:tr>
      <w:tr w14:paraId="5628C1FD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3651C5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P</w:t>
            </w:r>
          </w:p>
        </w:tc>
        <w:tc>
          <w:tcPr>
            <w:tcW w:w="1872" w:type="dxa"/>
          </w:tcPr>
          <w:p w14:paraId="7A0418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Selling price per case on the platform</w:t>
            </w:r>
          </w:p>
        </w:tc>
        <w:tc>
          <w:tcPr>
            <w:tcW w:w="1872" w:type="dxa"/>
          </w:tcPr>
          <w:p w14:paraId="0A3AD7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Decision</w:t>
            </w:r>
          </w:p>
        </w:tc>
        <w:tc>
          <w:tcPr>
            <w:tcW w:w="1872" w:type="dxa"/>
          </w:tcPr>
          <w:p w14:paraId="0E7CC8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ZAR (R)</w:t>
            </w:r>
          </w:p>
        </w:tc>
        <w:tc>
          <w:tcPr>
            <w:tcW w:w="1872" w:type="dxa"/>
          </w:tcPr>
          <w:p w14:paraId="642763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Markup formula dependent (P = C_w * (1 + m)).</w:t>
            </w:r>
          </w:p>
        </w:tc>
      </w:tr>
      <w:tr w14:paraId="6F2D3709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B"/>
          </w:tcPr>
          <w:p w14:paraId="74A6D9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m</w:t>
            </w:r>
          </w:p>
        </w:tc>
        <w:tc>
          <w:tcPr>
            <w:tcW w:w="1872" w:type="dxa"/>
            <w:shd w:val="clear" w:color="auto" w:fill="F9FAFB"/>
          </w:tcPr>
          <w:p w14:paraId="3FEC64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Standard platform commission markup rate</w:t>
            </w:r>
          </w:p>
        </w:tc>
        <w:tc>
          <w:tcPr>
            <w:tcW w:w="1872" w:type="dxa"/>
            <w:shd w:val="clear" w:color="auto" w:fill="F9FAFB"/>
          </w:tcPr>
          <w:p w14:paraId="6ACDD0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1872" w:type="dxa"/>
            <w:shd w:val="clear" w:color="auto" w:fill="F9FAFB"/>
          </w:tcPr>
          <w:p w14:paraId="74C57B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872" w:type="dxa"/>
            <w:shd w:val="clear" w:color="auto" w:fill="F9FAFB"/>
          </w:tcPr>
          <w:p w14:paraId="57122B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Fixed at 10.0% (0.10) for platform operations.</w:t>
            </w:r>
          </w:p>
        </w:tc>
      </w:tr>
      <w:tr w14:paraId="6E5DF1E7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34A536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d</w:t>
            </w:r>
          </w:p>
        </w:tc>
        <w:tc>
          <w:tcPr>
            <w:tcW w:w="1872" w:type="dxa"/>
          </w:tcPr>
          <w:p w14:paraId="41314B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One-way travel distance to the Spaza location</w:t>
            </w:r>
          </w:p>
        </w:tc>
        <w:tc>
          <w:tcPr>
            <w:tcW w:w="1872" w:type="dxa"/>
          </w:tcPr>
          <w:p w14:paraId="1B1BBE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1872" w:type="dxa"/>
          </w:tcPr>
          <w:p w14:paraId="1255DD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km</w:t>
            </w:r>
          </w:p>
        </w:tc>
        <w:tc>
          <w:tcPr>
            <w:tcW w:w="1872" w:type="dxa"/>
          </w:tcPr>
          <w:p w14:paraId="031597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Calculated via Google Maps API coordinates.</w:t>
            </w:r>
          </w:p>
        </w:tc>
      </w:tr>
      <w:tr w14:paraId="41CEE88C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B"/>
          </w:tcPr>
          <w:p w14:paraId="251620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F_b</w:t>
            </w:r>
          </w:p>
        </w:tc>
        <w:tc>
          <w:tcPr>
            <w:tcW w:w="1872" w:type="dxa"/>
            <w:shd w:val="clear" w:color="auto" w:fill="F9FAFB"/>
          </w:tcPr>
          <w:p w14:paraId="5CEBDF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Flat base booking/dispatch logistics fee</w:t>
            </w:r>
          </w:p>
        </w:tc>
        <w:tc>
          <w:tcPr>
            <w:tcW w:w="1872" w:type="dxa"/>
            <w:shd w:val="clear" w:color="auto" w:fill="F9FAFB"/>
          </w:tcPr>
          <w:p w14:paraId="5FE050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1872" w:type="dxa"/>
            <w:shd w:val="clear" w:color="auto" w:fill="F9FAFB"/>
          </w:tcPr>
          <w:p w14:paraId="3B8884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ZAR (R)</w:t>
            </w:r>
          </w:p>
        </w:tc>
        <w:tc>
          <w:tcPr>
            <w:tcW w:w="1872" w:type="dxa"/>
            <w:shd w:val="clear" w:color="auto" w:fill="F9FAFB"/>
          </w:tcPr>
          <w:p w14:paraId="7F60DB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 25.00 flat dispatch fee.</w:t>
            </w:r>
          </w:p>
        </w:tc>
      </w:tr>
      <w:tr w14:paraId="2E2924C9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39BC17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R_k</w:t>
            </w:r>
          </w:p>
        </w:tc>
        <w:tc>
          <w:tcPr>
            <w:tcW w:w="1872" w:type="dxa"/>
          </w:tcPr>
          <w:p w14:paraId="7FE819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Delivery transport rate per kilometer travelled</w:t>
            </w:r>
          </w:p>
        </w:tc>
        <w:tc>
          <w:tcPr>
            <w:tcW w:w="1872" w:type="dxa"/>
          </w:tcPr>
          <w:p w14:paraId="061CEF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1872" w:type="dxa"/>
          </w:tcPr>
          <w:p w14:paraId="1F21F5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ZAR/km</w:t>
            </w:r>
          </w:p>
        </w:tc>
        <w:tc>
          <w:tcPr>
            <w:tcW w:w="1872" w:type="dxa"/>
          </w:tcPr>
          <w:p w14:paraId="74DF1B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 4.50 (Based on local fuel &amp; logistics cost modeling).</w:t>
            </w:r>
          </w:p>
        </w:tc>
      </w:tr>
      <w:tr w14:paraId="421AC410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B"/>
          </w:tcPr>
          <w:p w14:paraId="7B750B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C_d</w:t>
            </w:r>
          </w:p>
        </w:tc>
        <w:tc>
          <w:tcPr>
            <w:tcW w:w="1872" w:type="dxa"/>
            <w:shd w:val="clear" w:color="auto" w:fill="F9FAFB"/>
          </w:tcPr>
          <w:p w14:paraId="5452E7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Calculated delivery fee to be paid by user</w:t>
            </w:r>
          </w:p>
        </w:tc>
        <w:tc>
          <w:tcPr>
            <w:tcW w:w="1872" w:type="dxa"/>
            <w:shd w:val="clear" w:color="auto" w:fill="F9FAFB"/>
          </w:tcPr>
          <w:p w14:paraId="0B844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1872" w:type="dxa"/>
            <w:shd w:val="clear" w:color="auto" w:fill="F9FAFB"/>
          </w:tcPr>
          <w:p w14:paraId="6CA9F9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ZAR (R)</w:t>
            </w:r>
          </w:p>
        </w:tc>
        <w:tc>
          <w:tcPr>
            <w:tcW w:w="1872" w:type="dxa"/>
            <w:shd w:val="clear" w:color="auto" w:fill="F9FAFB"/>
          </w:tcPr>
          <w:p w14:paraId="4FC48B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Computed: C_d = F_b + (d * R_k).</w:t>
            </w:r>
          </w:p>
        </w:tc>
      </w:tr>
      <w:tr w14:paraId="367B10DC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17E067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F_c</w:t>
            </w:r>
          </w:p>
        </w:tc>
        <w:tc>
          <w:tcPr>
            <w:tcW w:w="1872" w:type="dxa"/>
          </w:tcPr>
          <w:p w14:paraId="16ED14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Fixed platform overheads (hosting, databases)</w:t>
            </w:r>
          </w:p>
        </w:tc>
        <w:tc>
          <w:tcPr>
            <w:tcW w:w="1872" w:type="dxa"/>
          </w:tcPr>
          <w:p w14:paraId="203539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1872" w:type="dxa"/>
          </w:tcPr>
          <w:p w14:paraId="34F7E4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ZAR (R)</w:t>
            </w:r>
          </w:p>
        </w:tc>
        <w:tc>
          <w:tcPr>
            <w:tcW w:w="1872" w:type="dxa"/>
          </w:tcPr>
          <w:p w14:paraId="2511C9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 6,500.00 per month (fixed infrastructure cost).</w:t>
            </w:r>
          </w:p>
        </w:tc>
      </w:tr>
      <w:tr w14:paraId="6750F8C5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B"/>
          </w:tcPr>
          <w:p w14:paraId="2A42AA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q*</w:t>
            </w:r>
          </w:p>
        </w:tc>
        <w:tc>
          <w:tcPr>
            <w:tcW w:w="1872" w:type="dxa"/>
            <w:shd w:val="clear" w:color="auto" w:fill="F9FAFB"/>
          </w:tcPr>
          <w:p w14:paraId="5A8F18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Break-even monthly order volume</w:t>
            </w:r>
          </w:p>
        </w:tc>
        <w:tc>
          <w:tcPr>
            <w:tcW w:w="1872" w:type="dxa"/>
            <w:shd w:val="clear" w:color="auto" w:fill="F9FAFB"/>
          </w:tcPr>
          <w:p w14:paraId="3EB117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1872" w:type="dxa"/>
            <w:shd w:val="clear" w:color="auto" w:fill="F9FAFB"/>
          </w:tcPr>
          <w:p w14:paraId="2ADBC3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Cases</w:t>
            </w:r>
          </w:p>
        </w:tc>
        <w:tc>
          <w:tcPr>
            <w:tcW w:w="1872" w:type="dxa"/>
            <w:shd w:val="clear" w:color="auto" w:fill="F9FAFB"/>
          </w:tcPr>
          <w:p w14:paraId="4BF093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Calculated target threshold to clear fixed overheads.</w:t>
            </w:r>
          </w:p>
        </w:tc>
      </w:tr>
    </w:tbl>
    <w:p w14:paraId="2864960E">
      <w:pPr>
        <w:keepNext/>
        <w:spacing w:before="360"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1F3A60"/>
          <w:sz w:val="32"/>
        </w:rPr>
        <w:t>Section 2: Key Equations</w:t>
      </w:r>
    </w:p>
    <w:p w14:paraId="35DD4D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core equations drive the backend operations of Spaza Supply, linking mathematical theory to execution code:</w:t>
      </w:r>
    </w:p>
    <w:p w14:paraId="05F542D1">
      <w:pPr>
        <w:keepNext/>
        <w:spacing w:before="24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D97706"/>
          <w:sz w:val="26"/>
        </w:rPr>
        <w:t>Equation 1: Marked-up Price per Unit Case (P)</w:t>
      </w:r>
    </w:p>
    <w:p w14:paraId="2D10F390">
      <w:pPr>
        <w:spacing w:before="80"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1F3A60"/>
          <w:sz w:val="28"/>
        </w:rPr>
        <w:t>P = C_w × (1 + m)</w:t>
      </w:r>
    </w:p>
    <w:p w14:paraId="7E5CB8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Computes the merchant platform catalog price by appending our standard 10% operating margin to the direct wholesale procurement cost.</w:t>
      </w:r>
    </w:p>
    <w:p w14:paraId="461FC505">
      <w:pPr>
        <w:ind w:left="2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0"/>
        </w:rPr>
        <w:t>Worked Example:</w:t>
      </w:r>
      <w:r>
        <w:rPr>
          <w:rFonts w:ascii="Times New Roman" w:hAnsi="Times New Roman" w:cs="Times New Roman"/>
          <w:b/>
          <w:sz w:val="20"/>
        </w:rPr>
        <w:br w:type="textWrapping"/>
      </w:r>
      <w:r>
        <w:rPr>
          <w:rFonts w:ascii="Times New Roman" w:hAnsi="Times New Roman" w:cs="Times New Roman"/>
          <w:color w:val="6C757D"/>
          <w:sz w:val="20"/>
        </w:rPr>
        <w:t>If base wholesale cost C_w = R 150.00 and markup m = 10% (0.10):</w:t>
      </w:r>
      <w:r>
        <w:rPr>
          <w:rFonts w:ascii="Times New Roman" w:hAnsi="Times New Roman" w:cs="Times New Roman"/>
          <w:color w:val="6C757D"/>
          <w:sz w:val="20"/>
        </w:rPr>
        <w:br w:type="textWrapping"/>
      </w:r>
      <w:r>
        <w:rPr>
          <w:rFonts w:ascii="Times New Roman" w:hAnsi="Times New Roman" w:cs="Times New Roman"/>
          <w:color w:val="6C757D"/>
          <w:sz w:val="20"/>
        </w:rPr>
        <w:t>P = 150.00 × (1 + 0.10) = 150.00 × 1.10 = R 165.00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31536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left w:val="single" w:color="1F3A60" w:sz="12" w:space="0"/>
            </w:tcBorders>
            <w:shd w:val="clear" w:color="auto" w:fill="F8F9FA"/>
          </w:tcPr>
          <w:p w14:paraId="4BD630A6">
            <w:pPr>
              <w:ind w:left="1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6600"/>
                <w:sz w:val="19"/>
              </w:rPr>
              <w:t>double sellingPrice = wholesaleCost * (1 + markupRate);</w:t>
            </w:r>
          </w:p>
        </w:tc>
      </w:tr>
    </w:tbl>
    <w:p w14:paraId="0FD32A09">
      <w:pPr>
        <w:keepNext/>
        <w:spacing w:before="24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D97706"/>
          <w:sz w:val="26"/>
        </w:rPr>
        <w:t>Equation 2: Calculated Dynamic Delivery Fee (C_d)</w:t>
      </w:r>
    </w:p>
    <w:p w14:paraId="3300612E">
      <w:pPr>
        <w:spacing w:before="80"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1F3A60"/>
          <w:sz w:val="28"/>
        </w:rPr>
        <w:t>C_d = F_b + (d × R_k)</w:t>
      </w:r>
    </w:p>
    <w:p w14:paraId="309CE7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Generates the shipping quote based on distance, keeping transport costs transparent and linear.</w:t>
      </w:r>
    </w:p>
    <w:p w14:paraId="0E6024F2">
      <w:pPr>
        <w:ind w:left="2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0"/>
        </w:rPr>
        <w:t>Worked Example:</w:t>
      </w:r>
      <w:r>
        <w:rPr>
          <w:rFonts w:ascii="Times New Roman" w:hAnsi="Times New Roman" w:cs="Times New Roman"/>
          <w:b/>
          <w:sz w:val="20"/>
        </w:rPr>
        <w:br w:type="textWrapping"/>
      </w:r>
      <w:r>
        <w:rPr>
          <w:rFonts w:ascii="Times New Roman" w:hAnsi="Times New Roman" w:cs="Times New Roman"/>
          <w:color w:val="6C757D"/>
          <w:sz w:val="20"/>
        </w:rPr>
        <w:t>If distance d = 12 km, flat base F_b = R 25.00, and per-km rate R_k = R 4.50:</w:t>
      </w:r>
      <w:r>
        <w:rPr>
          <w:rFonts w:ascii="Times New Roman" w:hAnsi="Times New Roman" w:cs="Times New Roman"/>
          <w:color w:val="6C757D"/>
          <w:sz w:val="20"/>
        </w:rPr>
        <w:br w:type="textWrapping"/>
      </w:r>
      <w:r>
        <w:rPr>
          <w:rFonts w:ascii="Times New Roman" w:hAnsi="Times New Roman" w:cs="Times New Roman"/>
          <w:color w:val="6C757D"/>
          <w:sz w:val="20"/>
        </w:rPr>
        <w:t>C_d = 25.00 + (12 × 4.50) = 25.00 + 54.00 = R 79.00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13266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left w:val="single" w:color="1F3A60" w:sz="12" w:space="0"/>
            </w:tcBorders>
            <w:shd w:val="clear" w:color="auto" w:fill="F8F9FA"/>
          </w:tcPr>
          <w:p w14:paraId="19760F37">
            <w:pPr>
              <w:ind w:left="1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6600"/>
                <w:sz w:val="19"/>
              </w:rPr>
              <w:t>double deliveryFee = flatBaseFee + (distanceKm * ratePerKm);</w:t>
            </w:r>
          </w:p>
        </w:tc>
      </w:tr>
    </w:tbl>
    <w:p w14:paraId="658F6AD0">
      <w:pPr>
        <w:keepNext/>
        <w:spacing w:before="24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D97706"/>
          <w:sz w:val="26"/>
        </w:rPr>
        <w:t>Equation 3: Total Platform Gross Revenue (R)</w:t>
      </w:r>
    </w:p>
    <w:p w14:paraId="4A018EE5">
      <w:pPr>
        <w:spacing w:before="80"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1F3A60"/>
          <w:sz w:val="28"/>
        </w:rPr>
        <w:t>R = (q × P) + ∑ C_d</w:t>
      </w:r>
    </w:p>
    <w:p w14:paraId="38D3BF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Accumulates all revenue from both markup item sales and logistics delivery charges.</w:t>
      </w:r>
    </w:p>
    <w:p w14:paraId="2E5944D0">
      <w:pPr>
        <w:ind w:left="2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0"/>
        </w:rPr>
        <w:t>Worked Example:</w:t>
      </w:r>
      <w:r>
        <w:rPr>
          <w:rFonts w:ascii="Times New Roman" w:hAnsi="Times New Roman" w:cs="Times New Roman"/>
          <w:b/>
          <w:sz w:val="20"/>
        </w:rPr>
        <w:br w:type="textWrapping"/>
      </w:r>
      <w:r>
        <w:rPr>
          <w:rFonts w:ascii="Times New Roman" w:hAnsi="Times New Roman" w:cs="Times New Roman"/>
          <w:color w:val="6C757D"/>
          <w:sz w:val="20"/>
        </w:rPr>
        <w:t>For q = 500 cases sold at P = R 165.00 each, and a monthly sum of delivery fees collected ∑ C_d = R 3,500.00:</w:t>
      </w:r>
      <w:r>
        <w:rPr>
          <w:rFonts w:ascii="Times New Roman" w:hAnsi="Times New Roman" w:cs="Times New Roman"/>
          <w:color w:val="6C757D"/>
          <w:sz w:val="20"/>
        </w:rPr>
        <w:br w:type="textWrapping"/>
      </w:r>
      <w:r>
        <w:rPr>
          <w:rFonts w:ascii="Times New Roman" w:hAnsi="Times New Roman" w:cs="Times New Roman"/>
          <w:color w:val="6C757D"/>
          <w:sz w:val="20"/>
        </w:rPr>
        <w:t>R = (500 × 165.00) + 3,500.00 = 82,500.00 + 3,500.00 = R 86,000.00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8426B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left w:val="single" w:color="1F3A60" w:sz="12" w:space="0"/>
            </w:tcBorders>
            <w:shd w:val="clear" w:color="auto" w:fill="F8F9FA"/>
          </w:tcPr>
          <w:p w14:paraId="31B1ACE4">
            <w:pPr>
              <w:ind w:left="1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6600"/>
                <w:sz w:val="19"/>
              </w:rPr>
              <w:t>double totalRevenue = (quantitySold * sellingPrice) + totalDeliveryFees;</w:t>
            </w:r>
          </w:p>
        </w:tc>
      </w:tr>
    </w:tbl>
    <w:p w14:paraId="772A1600">
      <w:pPr>
        <w:keepNext/>
        <w:spacing w:before="24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D97706"/>
          <w:sz w:val="26"/>
        </w:rPr>
        <w:t>Equation 4: Net Monthly Platform Profit (π)</w:t>
      </w:r>
    </w:p>
    <w:p w14:paraId="249B00C0">
      <w:pPr>
        <w:spacing w:before="80"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1F3A60"/>
          <w:sz w:val="28"/>
        </w:rPr>
        <w:t>π = R - (q × C_w) - C_ops - F_c</w:t>
      </w:r>
    </w:p>
    <w:p w14:paraId="69789E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Subtracts raw stock procurement, logistics driver payouts (C_ops), and fixed admin overheads (F_c) from the total gross revenue.</w:t>
      </w:r>
    </w:p>
    <w:p w14:paraId="535B77DB">
      <w:pPr>
        <w:ind w:left="2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0"/>
        </w:rPr>
        <w:t>Worked Example:</w:t>
      </w:r>
      <w:r>
        <w:rPr>
          <w:rFonts w:ascii="Times New Roman" w:hAnsi="Times New Roman" w:cs="Times New Roman"/>
          <w:b/>
          <w:sz w:val="20"/>
        </w:rPr>
        <w:br w:type="textWrapping"/>
      </w:r>
      <w:r>
        <w:rPr>
          <w:rFonts w:ascii="Times New Roman" w:hAnsi="Times New Roman" w:cs="Times New Roman"/>
          <w:color w:val="6C757D"/>
          <w:sz w:val="20"/>
        </w:rPr>
        <w:t>Using R = R 86,000.00, procurement costs of R 75,000.00, driver payouts of R 2,800.00, and fixed costs F_c = R 6,500.00:</w:t>
      </w:r>
      <w:r>
        <w:rPr>
          <w:rFonts w:ascii="Times New Roman" w:hAnsi="Times New Roman" w:cs="Times New Roman"/>
          <w:color w:val="6C757D"/>
          <w:sz w:val="20"/>
        </w:rPr>
        <w:br w:type="textWrapping"/>
      </w:r>
      <w:r>
        <w:rPr>
          <w:rFonts w:ascii="Times New Roman" w:hAnsi="Times New Roman" w:cs="Times New Roman"/>
          <w:color w:val="6C757D"/>
          <w:sz w:val="20"/>
        </w:rPr>
        <w:t>π = 86,000.00 - 75,000.00 - 2,800.00 - 6,500.00 = R 1,700.00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44DAD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left w:val="single" w:color="1F3A60" w:sz="12" w:space="0"/>
            </w:tcBorders>
            <w:shd w:val="clear" w:color="auto" w:fill="F8F9FA"/>
          </w:tcPr>
          <w:p w14:paraId="7711E366">
            <w:pPr>
              <w:ind w:left="1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6600"/>
                <w:sz w:val="19"/>
              </w:rPr>
              <w:t>double netProfit = grossRevenue - (quantitySold * wholesaleCost) - transportPayouts - fixedCosts;</w:t>
            </w:r>
          </w:p>
        </w:tc>
      </w:tr>
    </w:tbl>
    <w:p w14:paraId="3315357C">
      <w:pPr>
        <w:keepNext/>
        <w:spacing w:before="24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D97706"/>
          <w:sz w:val="26"/>
        </w:rPr>
        <w:t>Equation 5: Project Break-Even Quantity (q*)</w:t>
      </w:r>
    </w:p>
    <w:p w14:paraId="4FB1A339">
      <w:pPr>
        <w:spacing w:before="80"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1F3A60"/>
          <w:sz w:val="28"/>
        </w:rPr>
        <w:t>q* = F_c / (P - C_w)</w:t>
      </w:r>
    </w:p>
    <w:p w14:paraId="6CCF9E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Calculates the physical volume of stock cases needed to cover the fixed monthly operating costs.</w:t>
      </w:r>
    </w:p>
    <w:p w14:paraId="74135594">
      <w:pPr>
        <w:ind w:left="2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0"/>
        </w:rPr>
        <w:t>Worked Example:</w:t>
      </w:r>
      <w:r>
        <w:rPr>
          <w:rFonts w:ascii="Times New Roman" w:hAnsi="Times New Roman" w:cs="Times New Roman"/>
          <w:b/>
          <w:sz w:val="20"/>
        </w:rPr>
        <w:br w:type="textWrapping"/>
      </w:r>
      <w:r>
        <w:rPr>
          <w:rFonts w:ascii="Times New Roman" w:hAnsi="Times New Roman" w:cs="Times New Roman"/>
          <w:color w:val="6C757D"/>
          <w:sz w:val="20"/>
        </w:rPr>
        <w:t>If fixed overheads F_c = R 6,500.00, selling price P = R 165.00, and wholesale cost C_w = R 150.00:</w:t>
      </w:r>
      <w:r>
        <w:rPr>
          <w:rFonts w:ascii="Times New Roman" w:hAnsi="Times New Roman" w:cs="Times New Roman"/>
          <w:color w:val="6C757D"/>
          <w:sz w:val="20"/>
        </w:rPr>
        <w:br w:type="textWrapping"/>
      </w:r>
      <w:r>
        <w:rPr>
          <w:rFonts w:ascii="Times New Roman" w:hAnsi="Times New Roman" w:cs="Times New Roman"/>
          <w:color w:val="6C757D"/>
          <w:sz w:val="20"/>
        </w:rPr>
        <w:t>q* = 6,500.00 / (165.00 - 150.00) = 6,500.00 / 15.00 = 433.33 ≈ 434 cases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3DB0E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left w:val="single" w:color="1F3A60" w:sz="12" w:space="0"/>
            </w:tcBorders>
            <w:shd w:val="clear" w:color="auto" w:fill="F8F9FA"/>
          </w:tcPr>
          <w:p w14:paraId="24C710C5">
            <w:pPr>
              <w:ind w:left="1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6600"/>
                <w:sz w:val="19"/>
              </w:rPr>
              <w:t>double breakEvenQuantity = Math.ceil(fixedCosts / (sellingPrice - wholesaleCost));</w:t>
            </w:r>
          </w:p>
        </w:tc>
      </w:tr>
    </w:tbl>
    <w:p w14:paraId="05D132D8">
      <w:pPr>
        <w:keepNext/>
        <w:spacing w:before="360"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1F3A60"/>
          <w:sz w:val="32"/>
        </w:rPr>
        <w:t>Section 3: App User Flow &amp; Flowchart</w:t>
      </w:r>
    </w:p>
    <w:p w14:paraId="459835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path describes how a spaza owner completes registration, browses active wholesaler rates, and executes an order with dynamic shipping fees:</w:t>
      </w:r>
    </w:p>
    <w:p w14:paraId="7B3DD039">
      <w:pPr>
        <w:pStyle w:val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USER SIGNUP / LOGIN</w:t>
      </w:r>
    </w:p>
    <w:p w14:paraId="0D6A0DBA">
      <w:pPr>
        <w:pStyle w:val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BROWSE CATALOG</w:t>
      </w:r>
    </w:p>
    <w:p w14:paraId="389D4527">
      <w:pPr>
        <w:pStyle w:val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ADD TO CART</w:t>
      </w:r>
    </w:p>
    <w:p w14:paraId="0472C5EF">
      <w:pPr>
        <w:pStyle w:val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ENTER ADDRESS &amp; TIME</w:t>
      </w:r>
    </w:p>
    <w:p w14:paraId="4220105B">
      <w:pPr>
        <w:pStyle w:val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SYSTEM COMPUTES FEE (Core Logic Applied)</w:t>
      </w:r>
    </w:p>
    <w:p w14:paraId="6320452E">
      <w:pPr>
        <w:pStyle w:val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CONFIRM &amp; PAY</w:t>
      </w:r>
    </w:p>
    <w:p w14:paraId="680AD28C">
      <w:pPr>
        <w:pStyle w:val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RECEIVE CONFIRMATION</w:t>
      </w:r>
    </w:p>
    <w:p w14:paraId="023C20BA">
      <w:pPr>
        <w:pStyle w:val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ORDER DELIVERED</w:t>
      </w:r>
    </w:p>
    <w:p w14:paraId="57C02735">
      <w:pPr>
        <w:pStyle w:val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RATING &amp; REVIEWS</w:t>
      </w:r>
    </w:p>
    <w:p w14:paraId="01ACF979">
      <w:pPr>
        <w:spacing w:before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Core Logic Highlight (Step 5):</w:t>
      </w:r>
      <w:r>
        <w:rPr>
          <w:rFonts w:ascii="Times New Roman" w:hAnsi="Times New Roman" w:cs="Times New Roman"/>
          <w:b/>
        </w:rPr>
        <w:br w:type="textWrapping"/>
      </w:r>
      <w:r>
        <w:rPr>
          <w:rFonts w:ascii="Times New Roman" w:hAnsi="Times New Roman" w:cs="Times New Roman"/>
        </w:rPr>
        <w:t>Calculates logistics and procurement totals simultaneously on cart validation. Checks if total order weight/volume allows for direct wholesaling, then pings Google Maps API using geographic coordinates to dynamically apply the linear transport formula: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color w:val="D97706"/>
        </w:rPr>
        <w:t>Delivery Cost = R 25.00 + (Distance × R 4.50)</w:t>
      </w:r>
    </w:p>
    <w:p w14:paraId="63EB3992">
      <w:pPr>
        <w:keepNext/>
        <w:spacing w:before="360"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1F3A60"/>
          <w:sz w:val="32"/>
        </w:rPr>
        <w:t>Section 4: Statistical Summaries</w:t>
      </w:r>
    </w:p>
    <w:p w14:paraId="520C93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ground our business assumptions in South African township economics, we conducted market research regarding spaza operating realities:</w:t>
      </w:r>
    </w:p>
    <w:p w14:paraId="4773F6A1">
      <w:pPr>
        <w:keepNext/>
        <w:spacing w:before="24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D97706"/>
          <w:sz w:val="26"/>
        </w:rPr>
        <w:t>1. Competitor Shipping Base Fee Comparison (Township Logistics)</w:t>
      </w:r>
    </w:p>
    <w:p w14:paraId="46C962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evaluated major local informal and formal delivery services. Average Base delivery cost matches R 45.00, indicating our baseline flat fee of R 25.00 combined with a mileage rate is competitive and accessible.</w:t>
      </w:r>
    </w:p>
    <w:tbl>
      <w:tblPr>
        <w:tblStyle w:val="12"/>
        <w:tblW w:w="0" w:type="auto"/>
        <w:jc w:val="center"/>
        <w:tblBorders>
          <w:top w:val="single" w:color="CCCCCC" w:sz="4" w:space="0"/>
          <w:left w:val="none" w:color="auto" w:sz="0" w:space="0"/>
          <w:bottom w:val="single" w:color="888888" w:sz="6" w:space="0"/>
          <w:right w:val="none" w:color="auto" w:sz="0" w:space="0"/>
          <w:insideH w:val="single" w:color="E0E0E0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F97E09C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E5E7EB"/>
          </w:tcPr>
          <w:p w14:paraId="36D2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Logistics Option / Competitor</w:t>
            </w:r>
          </w:p>
        </w:tc>
        <w:tc>
          <w:tcPr>
            <w:tcW w:w="4680" w:type="dxa"/>
            <w:shd w:val="clear" w:color="auto" w:fill="E5E7EB"/>
          </w:tcPr>
          <w:p w14:paraId="41EEC2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Base Fee (ZAR)</w:t>
            </w:r>
          </w:p>
        </w:tc>
      </w:tr>
      <w:tr w14:paraId="68DBFD0A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0090C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Traditional Taxi Service</w:t>
            </w:r>
          </w:p>
        </w:tc>
        <w:tc>
          <w:tcPr>
            <w:tcW w:w="4680" w:type="dxa"/>
          </w:tcPr>
          <w:p w14:paraId="4DA5B34A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 40.00</w:t>
            </w:r>
          </w:p>
        </w:tc>
      </w:tr>
      <w:tr w14:paraId="67BC21E1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5A8768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Private Bakkie Hire</w:t>
            </w:r>
          </w:p>
        </w:tc>
        <w:tc>
          <w:tcPr>
            <w:tcW w:w="4680" w:type="dxa"/>
          </w:tcPr>
          <w:p w14:paraId="17B3CC95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 70.00</w:t>
            </w:r>
          </w:p>
        </w:tc>
      </w:tr>
      <w:tr w14:paraId="2990D0F7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376CA5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Retailer Internal Delivery</w:t>
            </w:r>
          </w:p>
        </w:tc>
        <w:tc>
          <w:tcPr>
            <w:tcW w:w="4680" w:type="dxa"/>
          </w:tcPr>
          <w:p w14:paraId="5E276D1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 90.00</w:t>
            </w:r>
          </w:p>
        </w:tc>
      </w:tr>
      <w:tr w14:paraId="1ECA2ED5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EF3C7"/>
          </w:tcPr>
          <w:p w14:paraId="33AD63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Spaza Supply Platform (Ours)</w:t>
            </w:r>
          </w:p>
        </w:tc>
        <w:tc>
          <w:tcPr>
            <w:tcW w:w="4680" w:type="dxa"/>
            <w:shd w:val="clear" w:color="auto" w:fill="FEF3C7"/>
          </w:tcPr>
          <w:p w14:paraId="1DD8BCA8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R 25.00</w:t>
            </w:r>
          </w:p>
        </w:tc>
      </w:tr>
    </w:tbl>
    <w:p w14:paraId="4D7364E4">
      <w:pPr>
        <w:keepNext/>
        <w:spacing w:before="24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D97706"/>
          <w:sz w:val="26"/>
        </w:rPr>
        <w:t>2. Spaza Operating Margin Structure</w:t>
      </w:r>
    </w:p>
    <w:p w14:paraId="5EF24B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Field interviews with 30 spaza shop owners in Soshanguve revealed that traditional middleman markups suppress margins significantly, with 70% of respondents reporting net margins of less than 10.0%.</w:t>
      </w:r>
    </w:p>
    <w:p w14:paraId="1049606E">
      <w:pPr>
        <w:keepNext/>
        <w:spacing w:before="24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D97706"/>
          <w:sz w:val="26"/>
        </w:rPr>
        <w:t>3. Targeted Growth Modeling (12-Month Rollout)</w:t>
      </w:r>
    </w:p>
    <w:p w14:paraId="6A0507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target a conservative 12% compound monthly growth rate of registered merchants, aiming to scale from 50 partners in Month 1 to approximately 180 partners by Month 12 to unlock cooperative wholesale leverage.</w:t>
      </w:r>
    </w:p>
    <w:p w14:paraId="5DF4BB74">
      <w:pPr>
        <w:keepNext/>
        <w:spacing w:before="360"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1F3A60"/>
          <w:sz w:val="32"/>
        </w:rPr>
        <w:t>Section 5: Sensitivity Analysis</w:t>
      </w:r>
    </w:p>
    <w:p w14:paraId="10C845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analyzed our operational platform profit model against commodity price inflation and supply chains under three scenarios:</w:t>
      </w:r>
    </w:p>
    <w:tbl>
      <w:tblPr>
        <w:tblStyle w:val="12"/>
        <w:tblW w:w="0" w:type="auto"/>
        <w:jc w:val="center"/>
        <w:tblBorders>
          <w:top w:val="single" w:color="CCCCCC" w:sz="4" w:space="0"/>
          <w:left w:val="none" w:color="auto" w:sz="0" w:space="0"/>
          <w:bottom w:val="single" w:color="888888" w:sz="6" w:space="0"/>
          <w:right w:val="none" w:color="auto" w:sz="0" w:space="0"/>
          <w:insideH w:val="single" w:color="E0E0E0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2AFE34C2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1F3A60"/>
          </w:tcPr>
          <w:p w14:paraId="6E27E2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</w:rPr>
              <w:t>Scenario</w:t>
            </w:r>
          </w:p>
        </w:tc>
        <w:tc>
          <w:tcPr>
            <w:tcW w:w="2340" w:type="dxa"/>
            <w:shd w:val="clear" w:color="auto" w:fill="1F3A60"/>
          </w:tcPr>
          <w:p w14:paraId="0B3045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</w:rPr>
              <w:t>Key Assumptions Changed</w:t>
            </w:r>
          </w:p>
        </w:tc>
        <w:tc>
          <w:tcPr>
            <w:tcW w:w="2340" w:type="dxa"/>
            <w:shd w:val="clear" w:color="auto" w:fill="1F3A60"/>
          </w:tcPr>
          <w:p w14:paraId="55F70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</w:rPr>
              <w:t>Revised Monthly Profit (π)</w:t>
            </w:r>
          </w:p>
        </w:tc>
        <w:tc>
          <w:tcPr>
            <w:tcW w:w="2340" w:type="dxa"/>
            <w:shd w:val="clear" w:color="auto" w:fill="1F3A60"/>
          </w:tcPr>
          <w:p w14:paraId="003C79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</w:rPr>
              <w:t>Break-Even Volume (q*)</w:t>
            </w:r>
          </w:p>
        </w:tc>
      </w:tr>
      <w:tr w14:paraId="59CE36A5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753AC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Best Case Scenario</w:t>
            </w:r>
          </w:p>
        </w:tc>
        <w:tc>
          <w:tcPr>
            <w:tcW w:w="2340" w:type="dxa"/>
          </w:tcPr>
          <w:p w14:paraId="6A3D0B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Bulk discount increases; procurement drops 5% (C_w = R 142.50)</w:t>
            </w:r>
          </w:p>
        </w:tc>
        <w:tc>
          <w:tcPr>
            <w:tcW w:w="2340" w:type="dxa"/>
          </w:tcPr>
          <w:p w14:paraId="42F577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 4,750.00</w:t>
            </w:r>
          </w:p>
        </w:tc>
        <w:tc>
          <w:tcPr>
            <w:tcW w:w="2340" w:type="dxa"/>
          </w:tcPr>
          <w:p w14:paraId="5DE94A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289 Cases</w:t>
            </w:r>
          </w:p>
        </w:tc>
      </w:tr>
      <w:tr w14:paraId="6FEECD6E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571343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Expected Baseline Case</w:t>
            </w:r>
          </w:p>
        </w:tc>
        <w:tc>
          <w:tcPr>
            <w:tcW w:w="2340" w:type="dxa"/>
          </w:tcPr>
          <w:p w14:paraId="1912D8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Calculated sections baseline (C_w = R 150.00, P = R 165.00).</w:t>
            </w:r>
          </w:p>
        </w:tc>
        <w:tc>
          <w:tcPr>
            <w:tcW w:w="2340" w:type="dxa"/>
          </w:tcPr>
          <w:p w14:paraId="030F52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 1,700.00</w:t>
            </w:r>
          </w:p>
        </w:tc>
        <w:tc>
          <w:tcPr>
            <w:tcW w:w="2340" w:type="dxa"/>
          </w:tcPr>
          <w:p w14:paraId="7DEFB4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434 Cases</w:t>
            </w:r>
          </w:p>
        </w:tc>
      </w:tr>
      <w:tr w14:paraId="48F5DD9A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EE2E2"/>
          </w:tcPr>
          <w:p w14:paraId="374BF3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Worst Case Scenario</w:t>
            </w:r>
          </w:p>
        </w:tc>
        <w:tc>
          <w:tcPr>
            <w:tcW w:w="2340" w:type="dxa"/>
            <w:shd w:val="clear" w:color="auto" w:fill="FEE2E2"/>
          </w:tcPr>
          <w:p w14:paraId="77B8A1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Supplier fuel surcharge increases wholesale cost 5% (C_w = R 157.50).</w:t>
            </w:r>
          </w:p>
        </w:tc>
        <w:tc>
          <w:tcPr>
            <w:tcW w:w="2340" w:type="dxa"/>
            <w:shd w:val="clear" w:color="auto" w:fill="FEE2E2"/>
          </w:tcPr>
          <w:p w14:paraId="011D57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R 1,250.00</w:t>
            </w:r>
          </w:p>
        </w:tc>
        <w:tc>
          <w:tcPr>
            <w:tcW w:w="2340" w:type="dxa"/>
            <w:shd w:val="clear" w:color="auto" w:fill="FEE2E2"/>
          </w:tcPr>
          <w:p w14:paraId="5DBD79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867 Cases</w:t>
            </w:r>
          </w:p>
        </w:tc>
      </w:tr>
    </w:tbl>
    <w:p w14:paraId="1B432A20">
      <w:pPr>
        <w:spacing w:before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Risk Mitigation Strategy: </w:t>
      </w:r>
      <w:r>
        <w:rPr>
          <w:rFonts w:ascii="Times New Roman" w:hAnsi="Times New Roman" w:cs="Times New Roman"/>
        </w:rPr>
        <w:t>Our model shows high sensitivity to wholesale supply cost volatility. If inflation compresses our per-unit operating margin, the break-even volume expands rapidly. To guard against this risk, Spaza Supply will establish direct quarterly purchasing SLA contracts with regional manufacturers (such as Tiger Brands) to lock in fixed rates.</w:t>
      </w:r>
    </w:p>
    <w:p w14:paraId="7AB3C48B">
      <w:pPr>
        <w:keepNext/>
        <w:spacing w:before="360"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1F3A60"/>
          <w:sz w:val="32"/>
        </w:rPr>
        <w:t>Section 6: Faculty Review Rubric Grid</w:t>
      </w:r>
    </w:p>
    <w:tbl>
      <w:tblPr>
        <w:tblStyle w:val="12"/>
        <w:tblW w:w="0" w:type="auto"/>
        <w:jc w:val="center"/>
        <w:tblBorders>
          <w:top w:val="single" w:color="CCCCCC" w:sz="4" w:space="0"/>
          <w:left w:val="none" w:color="auto" w:sz="0" w:space="0"/>
          <w:bottom w:val="single" w:color="888888" w:sz="6" w:space="0"/>
          <w:right w:val="none" w:color="auto" w:sz="0" w:space="0"/>
          <w:insideH w:val="single" w:color="E0E0E0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53A0D7C5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1F3A60"/>
          </w:tcPr>
          <w:p w14:paraId="5D880E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</w:rPr>
              <w:t>Evaluation Criterion</w:t>
            </w:r>
          </w:p>
        </w:tc>
        <w:tc>
          <w:tcPr>
            <w:tcW w:w="2340" w:type="dxa"/>
            <w:shd w:val="clear" w:color="auto" w:fill="1F3A60"/>
          </w:tcPr>
          <w:p w14:paraId="479463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</w:rPr>
              <w:t>Weighting</w:t>
            </w:r>
          </w:p>
        </w:tc>
        <w:tc>
          <w:tcPr>
            <w:tcW w:w="2340" w:type="dxa"/>
            <w:shd w:val="clear" w:color="auto" w:fill="1F3A60"/>
          </w:tcPr>
          <w:p w14:paraId="22B0B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</w:rPr>
              <w:t>Score (0-6)</w:t>
            </w:r>
          </w:p>
        </w:tc>
        <w:tc>
          <w:tcPr>
            <w:tcW w:w="2340" w:type="dxa"/>
            <w:shd w:val="clear" w:color="auto" w:fill="1F3A60"/>
          </w:tcPr>
          <w:p w14:paraId="70ED1D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</w:rPr>
              <w:t>Lecturer Remarks / Comments</w:t>
            </w:r>
          </w:p>
        </w:tc>
      </w:tr>
      <w:tr w14:paraId="19532AC9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5C828A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Variable Dictionary Integrity: Symbols and units listed.</w:t>
            </w:r>
          </w:p>
        </w:tc>
        <w:tc>
          <w:tcPr>
            <w:tcW w:w="2340" w:type="dxa"/>
          </w:tcPr>
          <w:p w14:paraId="17171D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2340" w:type="dxa"/>
          </w:tcPr>
          <w:p w14:paraId="6CC070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14:paraId="2DA7CC3E">
            <w:pPr>
              <w:rPr>
                <w:rFonts w:ascii="Times New Roman" w:hAnsi="Times New Roman" w:cs="Times New Roman"/>
              </w:rPr>
            </w:pPr>
          </w:p>
        </w:tc>
      </w:tr>
      <w:tr w14:paraId="5BDD920C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9FAFB"/>
          </w:tcPr>
          <w:p w14:paraId="269D26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Mathematical Accuracy: Solved examples and derivations shown.</w:t>
            </w:r>
          </w:p>
        </w:tc>
        <w:tc>
          <w:tcPr>
            <w:tcW w:w="2340" w:type="dxa"/>
            <w:shd w:val="clear" w:color="auto" w:fill="F9FAFB"/>
          </w:tcPr>
          <w:p w14:paraId="75E29E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2340" w:type="dxa"/>
            <w:shd w:val="clear" w:color="auto" w:fill="F9FAFB"/>
          </w:tcPr>
          <w:p w14:paraId="11E2EB0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shd w:val="clear" w:color="auto" w:fill="F9FAFB"/>
          </w:tcPr>
          <w:p w14:paraId="495EFB5A">
            <w:pPr>
              <w:rPr>
                <w:rFonts w:ascii="Times New Roman" w:hAnsi="Times New Roman" w:cs="Times New Roman"/>
              </w:rPr>
            </w:pPr>
          </w:p>
        </w:tc>
      </w:tr>
      <w:tr w14:paraId="5E54D636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5E38B4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Adaptability: Formulas correctly translated to programming variables.</w:t>
            </w:r>
          </w:p>
        </w:tc>
        <w:tc>
          <w:tcPr>
            <w:tcW w:w="2340" w:type="dxa"/>
          </w:tcPr>
          <w:p w14:paraId="407E9E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15%</w:t>
            </w:r>
          </w:p>
        </w:tc>
        <w:tc>
          <w:tcPr>
            <w:tcW w:w="2340" w:type="dxa"/>
          </w:tcPr>
          <w:p w14:paraId="548731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14:paraId="6174F12B">
            <w:pPr>
              <w:rPr>
                <w:rFonts w:ascii="Times New Roman" w:hAnsi="Times New Roman" w:cs="Times New Roman"/>
              </w:rPr>
            </w:pPr>
          </w:p>
        </w:tc>
      </w:tr>
      <w:tr w14:paraId="096074D2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9FAFB"/>
          </w:tcPr>
          <w:p w14:paraId="77AABC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Statistical Application: At least 3 detailed summaries with figures.</w:t>
            </w:r>
          </w:p>
        </w:tc>
        <w:tc>
          <w:tcPr>
            <w:tcW w:w="2340" w:type="dxa"/>
            <w:shd w:val="clear" w:color="auto" w:fill="F9FAFB"/>
          </w:tcPr>
          <w:p w14:paraId="6C0B36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2340" w:type="dxa"/>
            <w:shd w:val="clear" w:color="auto" w:fill="F9FAFB"/>
          </w:tcPr>
          <w:p w14:paraId="05423F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shd w:val="clear" w:color="auto" w:fill="F9FAFB"/>
          </w:tcPr>
          <w:p w14:paraId="599A23E9">
            <w:pPr>
              <w:rPr>
                <w:rFonts w:ascii="Times New Roman" w:hAnsi="Times New Roman" w:cs="Times New Roman"/>
              </w:rPr>
            </w:pPr>
          </w:p>
        </w:tc>
      </w:tr>
      <w:tr w14:paraId="25181421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546E41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Sensitivity Analysis: Realistic risk modeling scenarios completed.</w:t>
            </w:r>
          </w:p>
        </w:tc>
        <w:tc>
          <w:tcPr>
            <w:tcW w:w="2340" w:type="dxa"/>
          </w:tcPr>
          <w:p w14:paraId="24C93C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2340" w:type="dxa"/>
          </w:tcPr>
          <w:p w14:paraId="5734A2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14:paraId="195D2318">
            <w:pPr>
              <w:rPr>
                <w:rFonts w:ascii="Times New Roman" w:hAnsi="Times New Roman" w:cs="Times New Roman"/>
              </w:rPr>
            </w:pPr>
          </w:p>
        </w:tc>
      </w:tr>
      <w:tr w14:paraId="1F32B327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9FAFB"/>
          </w:tcPr>
          <w:p w14:paraId="27C909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Source Citations: Referenced benchmarks and township data.</w:t>
            </w:r>
          </w:p>
        </w:tc>
        <w:tc>
          <w:tcPr>
            <w:tcW w:w="2340" w:type="dxa"/>
            <w:shd w:val="clear" w:color="auto" w:fill="F9FAFB"/>
          </w:tcPr>
          <w:p w14:paraId="668274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5%</w:t>
            </w:r>
          </w:p>
        </w:tc>
        <w:tc>
          <w:tcPr>
            <w:tcW w:w="2340" w:type="dxa"/>
            <w:shd w:val="clear" w:color="auto" w:fill="F9FAFB"/>
          </w:tcPr>
          <w:p w14:paraId="35B929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shd w:val="clear" w:color="auto" w:fill="F9FAFB"/>
          </w:tcPr>
          <w:p w14:paraId="1B7629EA">
            <w:pPr>
              <w:rPr>
                <w:rFonts w:ascii="Times New Roman" w:hAnsi="Times New Roman" w:cs="Times New Roman"/>
              </w:rPr>
            </w:pPr>
          </w:p>
        </w:tc>
      </w:tr>
      <w:tr w14:paraId="7A167783">
        <w:tblPrEx>
          <w:tblBorders>
            <w:top w:val="single" w:color="CCCCCC" w:sz="4" w:space="0"/>
            <w:left w:val="none" w:color="auto" w:sz="0" w:space="0"/>
            <w:bottom w:val="single" w:color="888888" w:sz="6" w:space="0"/>
            <w:right w:val="none" w:color="auto" w:sz="0" w:space="0"/>
            <w:insideH w:val="single" w:color="E0E0E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E5E7EB"/>
          </w:tcPr>
          <w:p w14:paraId="770F9B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Cumulative Total Mark</w:t>
            </w:r>
          </w:p>
        </w:tc>
        <w:tc>
          <w:tcPr>
            <w:tcW w:w="2340" w:type="dxa"/>
            <w:shd w:val="clear" w:color="auto" w:fill="E5E7EB"/>
          </w:tcPr>
          <w:p w14:paraId="2CBB87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100%</w:t>
            </w:r>
          </w:p>
        </w:tc>
        <w:tc>
          <w:tcPr>
            <w:tcW w:w="2340" w:type="dxa"/>
            <w:shd w:val="clear" w:color="auto" w:fill="E5E7EB"/>
          </w:tcPr>
          <w:p w14:paraId="313BD5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/100</w:t>
            </w:r>
          </w:p>
        </w:tc>
        <w:tc>
          <w:tcPr>
            <w:tcW w:w="2340" w:type="dxa"/>
            <w:shd w:val="clear" w:color="auto" w:fill="E5E7EB"/>
          </w:tcPr>
          <w:p w14:paraId="5F73D746">
            <w:pPr>
              <w:rPr>
                <w:rFonts w:ascii="Times New Roman" w:hAnsi="Times New Roman" w:cs="Times New Roman"/>
              </w:rPr>
            </w:pPr>
          </w:p>
        </w:tc>
      </w:tr>
    </w:tbl>
    <w:p w14:paraId="4AF3C9AF">
      <w:pPr>
        <w:spacing w:befor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Assigned Lecturer Signature: ______________________          Date of Review: ____________________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E0A6E"/>
    <w:rsid w:val="002E286E"/>
    <w:rsid w:val="00326F90"/>
    <w:rsid w:val="008B6E7E"/>
    <w:rsid w:val="00A62530"/>
    <w:rsid w:val="00AA1D8D"/>
    <w:rsid w:val="00B47730"/>
    <w:rsid w:val="00CB0664"/>
    <w:rsid w:val="00DC5484"/>
    <w:rsid w:val="00FC693F"/>
    <w:rsid w:val="1800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color w:val="2B2D42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1141</Words>
  <Characters>6507</Characters>
  <Lines>54</Lines>
  <Paragraphs>15</Paragraphs>
  <TotalTime>1259</TotalTime>
  <ScaleCrop>false</ScaleCrop>
  <LinksUpToDate>false</LinksUpToDate>
  <CharactersWithSpaces>7633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WPS_1774559839</cp:lastModifiedBy>
  <dcterms:modified xsi:type="dcterms:W3CDTF">2026-07-17T09:02:04Z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1BBA3DE9B7184744BD9B824ED9829675_12</vt:lpwstr>
  </property>
</Properties>
</file>