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ROADMAP du projet </w:t>
      </w:r>
    </w:p>
    <w:p w:rsidR="00000000" w:rsidDel="00000000" w:rsidP="00000000" w:rsidRDefault="00000000" w:rsidRPr="00000000" w14:paraId="00000002">
      <w:pPr>
        <w:rPr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Réunion de lancement du projet, clarification des objectifs et des attentes du client.</w:t>
      </w:r>
    </w:p>
    <w:p w:rsidR="00000000" w:rsidDel="00000000" w:rsidP="00000000" w:rsidRDefault="00000000" w:rsidRPr="00000000" w14:paraId="00000004">
      <w:pPr>
        <w:shd w:fill="ffffff" w:val="clear"/>
        <w:spacing w:after="360" w:before="360" w:lineRule="auto"/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Phase 1 : Collecte et nettoyage des données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Extraction initiale des données à partir des fichiers plats CSV 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 fichier CSV contenant l'historique des commandes des clients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 fichier CSV contenant des informations sur les différents modèles de vélos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 fichier CSV contenant des informations sur les distributeurs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Les données seront nettoyées pour garantir leur qualité et leur cohérence. Cela comprend la suppression des doublons, la correction des valeurs aberrantes et le traitement des valeurs manquantes.</w:t>
      </w:r>
    </w:p>
    <w:p w:rsidR="00000000" w:rsidDel="00000000" w:rsidP="00000000" w:rsidRDefault="00000000" w:rsidRPr="00000000" w14:paraId="0000000A">
      <w:pPr>
        <w:shd w:fill="ffffff" w:val="clear"/>
        <w:spacing w:after="360" w:before="360" w:lineRule="auto"/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Phase 2 : Intégration des données et modélisation de l'Architecture et Alimentation Batch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Les données seront intégrées dans un data lakehouse avec Spark </w:t>
      </w:r>
      <w:r w:rsidDel="00000000" w:rsidR="00000000" w:rsidRPr="00000000">
        <w:rPr>
          <w:color w:val="ff0000"/>
          <w:highlight w:val="white"/>
          <w:rtl w:val="0"/>
        </w:rPr>
        <w:t xml:space="preserve">et Delta Lake</w:t>
      </w:r>
      <w:r w:rsidDel="00000000" w:rsidR="00000000" w:rsidRPr="00000000">
        <w:rPr>
          <w:color w:val="1f1f1f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Mise en place de l'alimentation en mode batch à partir des fichiers CSV dans le Data Lake House et enrichissement des données avec des informations sur le produit.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 schéma en étoile sera utilisé pour assurer des requêtes rapides et une structure simplifiée.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220" w:before="0" w:beforeAutospacing="0" w:lineRule="auto"/>
        <w:ind w:left="720" w:hanging="360"/>
        <w:rPr>
          <w:color w:val="ff9900"/>
          <w:sz w:val="22"/>
          <w:szCs w:val="22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Les données seront enrichies en les croisant avec des informations sur le produit, telles que le nom du produit, le type du produit, les composantes internes du produit, etc.</w:t>
      </w:r>
    </w:p>
    <w:p w:rsidR="00000000" w:rsidDel="00000000" w:rsidP="00000000" w:rsidRDefault="00000000" w:rsidRPr="00000000" w14:paraId="0000000F">
      <w:pPr>
        <w:shd w:fill="ffffff" w:val="clear"/>
        <w:spacing w:after="360" w:before="360" w:lineRule="auto"/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Phase 3 : Mise en place du POC</w:t>
      </w:r>
    </w:p>
    <w:p w:rsidR="00000000" w:rsidDel="00000000" w:rsidP="00000000" w:rsidRDefault="00000000" w:rsidRPr="00000000" w14:paraId="00000010">
      <w:pPr>
        <w:shd w:fill="ffffff" w:val="clear"/>
        <w:spacing w:after="220" w:before="60" w:lineRule="auto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Un POC (Proof of Concept) sera mis en place pour valider la faisabilité de la solution.</w:t>
      </w:r>
    </w:p>
    <w:p w:rsidR="00000000" w:rsidDel="00000000" w:rsidP="00000000" w:rsidRDefault="00000000" w:rsidRPr="00000000" w14:paraId="00000011">
      <w:pPr>
        <w:shd w:fill="ffffff" w:val="clear"/>
        <w:spacing w:after="220" w:before="60" w:lineRule="auto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Le POC sera basé sur une architecture Docker pour faciliter le déploiement et la gestion de la solution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0" w:afterAutospacing="0" w:before="6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Choix des Images Docker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Configuration des conteneurs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Création de scripts Docker-Compose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0" w:before="60" w:lineRule="auto"/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Phase 4 : Développement des tableaux de bord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afterAutospacing="0" w:before="6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Des tableaux de bord seront développés pour visualiser les données et permettre aux utilisateurs de prendre des décisions éclairées.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Les tableaux de bord comprendront des indicateurs clés tels que les nouveaux clients, la valeur vie client, le taux de rétention, le taux de désabonnement, etc.</w:t>
      </w:r>
    </w:p>
    <w:p w:rsidR="00000000" w:rsidDel="00000000" w:rsidP="00000000" w:rsidRDefault="00000000" w:rsidRPr="00000000" w14:paraId="00000018">
      <w:pPr>
        <w:shd w:fill="ffffff" w:val="clear"/>
        <w:spacing w:after="360" w:before="360" w:lineRule="auto"/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Phase 5 : Campagne de tests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color w:val="ff9900"/>
          <w:sz w:val="22"/>
          <w:szCs w:val="22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Des scénarios de test seront définis pour valider la performance et la fiabilité de la solution.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ff9900"/>
          <w:sz w:val="22"/>
          <w:szCs w:val="22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Les scénarios de test couvriront les aspects suivants 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9900"/>
          <w:sz w:val="22"/>
          <w:szCs w:val="22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Déploiement et configuration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9900"/>
          <w:sz w:val="22"/>
          <w:szCs w:val="22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Intégration des données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9900"/>
          <w:sz w:val="22"/>
          <w:szCs w:val="22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Scalabilité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9900"/>
          <w:sz w:val="22"/>
          <w:szCs w:val="22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Recovery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color w:val="ff9900"/>
          <w:sz w:val="22"/>
          <w:szCs w:val="22"/>
          <w:highlight w:val="white"/>
        </w:rPr>
      </w:pPr>
      <w:r w:rsidDel="00000000" w:rsidR="00000000" w:rsidRPr="00000000">
        <w:rPr>
          <w:color w:val="ff9900"/>
          <w:highlight w:val="white"/>
          <w:rtl w:val="0"/>
        </w:rPr>
        <w:t xml:space="preserve">Une campagne de tests sera menée pour valider la performance et la fiabilité de la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60" w:before="360" w:lineRule="auto"/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Phase 6 : Gestion de projet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hd w:fill="ffffff" w:val="clear"/>
        <w:spacing w:after="0" w:afterAutospacing="0" w:before="6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Des outils de gestion de projet seront utilisés pour suivre l'avancement du projet et garantir la conformité au plan.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Les outils de gestion de projet utilisés est Trello.</w:t>
      </w:r>
    </w:p>
    <w:p w:rsidR="00000000" w:rsidDel="00000000" w:rsidP="00000000" w:rsidRDefault="00000000" w:rsidRPr="00000000" w14:paraId="00000023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Phase 4 : Mise en production</w:t>
      </w:r>
    </w:p>
    <w:p w:rsidR="00000000" w:rsidDel="00000000" w:rsidP="00000000" w:rsidRDefault="00000000" w:rsidRPr="00000000" w14:paraId="00000024">
      <w:pPr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La solution sera mise en production et les utilisateurs seront formés à son utilisation.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La solution sera surveillée et maintenue pour garantir son bon fonctionnement.</w:t>
      </w:r>
    </w:p>
    <w:p w:rsidR="00000000" w:rsidDel="00000000" w:rsidP="00000000" w:rsidRDefault="00000000" w:rsidRPr="00000000" w14:paraId="00000027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Calendrier</w:t>
      </w:r>
    </w:p>
    <w:p w:rsidR="00000000" w:rsidDel="00000000" w:rsidP="00000000" w:rsidRDefault="00000000" w:rsidRPr="00000000" w14:paraId="00000029">
      <w:pPr>
        <w:rPr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4 semaines du 13/09/2023 au 12/10/2023</w:t>
      </w:r>
    </w:p>
    <w:p w:rsidR="00000000" w:rsidDel="00000000" w:rsidP="00000000" w:rsidRDefault="00000000" w:rsidRPr="00000000" w14:paraId="0000002B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Budget</w:t>
      </w:r>
    </w:p>
    <w:p w:rsidR="00000000" w:rsidDel="00000000" w:rsidP="00000000" w:rsidRDefault="00000000" w:rsidRPr="00000000" w14:paraId="0000002D">
      <w:pPr>
        <w:rPr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Étant un projet fil rouge, il est difficile d’estimer un budget.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Ressources</w:t>
      </w:r>
    </w:p>
    <w:p w:rsidR="00000000" w:rsidDel="00000000" w:rsidP="00000000" w:rsidRDefault="00000000" w:rsidRPr="00000000" w14:paraId="00000030">
      <w:pPr>
        <w:rPr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L'équipe du projet sera composée d’un ingénieur en données, d’un analyste de données et d’un business intelligence.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L'équipe utilisera des outils open source tels que Hadoop, Spark, </w:t>
      </w:r>
      <w:r w:rsidDel="00000000" w:rsidR="00000000" w:rsidRPr="00000000">
        <w:rPr>
          <w:color w:val="ff0000"/>
          <w:highlight w:val="white"/>
          <w:rtl w:val="0"/>
        </w:rPr>
        <w:t xml:space="preserve">Delta Lake</w:t>
      </w:r>
      <w:r w:rsidDel="00000000" w:rsidR="00000000" w:rsidRPr="00000000">
        <w:rPr>
          <w:color w:val="1f1f1f"/>
          <w:highlight w:val="white"/>
          <w:rtl w:val="0"/>
        </w:rPr>
        <w:t xml:space="preserve">, MLlib, </w:t>
      </w:r>
      <w:r w:rsidDel="00000000" w:rsidR="00000000" w:rsidRPr="00000000">
        <w:rPr>
          <w:color w:val="ff0000"/>
          <w:highlight w:val="white"/>
          <w:rtl w:val="0"/>
        </w:rPr>
        <w:t xml:space="preserve">Prometheus, Grafana</w:t>
      </w:r>
      <w:r w:rsidDel="00000000" w:rsidR="00000000" w:rsidRPr="00000000">
        <w:rPr>
          <w:color w:val="1f1f1f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f1f1f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Suivi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Le projet sera suivi par un comité de pilotage composé de l'équipe de projet.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Le comité de pilotage se réunira toutes plusieurs fois par semaine pour examiner l'avancement du projet et prendre des décisions.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