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EE028" w14:textId="4EE3FAE6" w:rsidR="001058FC" w:rsidRDefault="00D874E9">
      <w:proofErr w:type="spellStart"/>
      <w:r>
        <w:t>Dockerfile</w:t>
      </w:r>
      <w:proofErr w:type="spellEnd"/>
      <w:r>
        <w:t xml:space="preserve"> </w:t>
      </w:r>
    </w:p>
    <w:p w14:paraId="47065552" w14:textId="65C24981" w:rsidR="00D874E9" w:rsidRDefault="00D874E9">
      <w:r w:rsidRPr="00D874E9">
        <w:drawing>
          <wp:inline distT="0" distB="0" distL="0" distR="0" wp14:anchorId="698ACCE0" wp14:editId="7C791CA1">
            <wp:extent cx="5943600" cy="501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4187A" w14:textId="4EFCB613" w:rsidR="00D874E9" w:rsidRPr="00D874E9" w:rsidRDefault="00D874E9">
      <w:r>
        <w:br w:type="page"/>
      </w:r>
      <w:r>
        <w:lastRenderedPageBreak/>
        <w:t>Docker</w:t>
      </w:r>
      <w:r w:rsidRPr="00D874E9">
        <w:rPr>
          <w:lang w:val="ru-RU"/>
        </w:rPr>
        <w:t xml:space="preserve"> </w:t>
      </w:r>
      <w:r>
        <w:t>compose</w:t>
      </w:r>
    </w:p>
    <w:p w14:paraId="4E97F70C" w14:textId="68086E12" w:rsidR="00D874E9" w:rsidRPr="00D874E9" w:rsidRDefault="00D874E9">
      <w:pPr>
        <w:rPr>
          <w:lang w:val="ru-RU"/>
        </w:rPr>
      </w:pPr>
      <w:r w:rsidRPr="00D874E9">
        <w:drawing>
          <wp:inline distT="0" distB="0" distL="0" distR="0" wp14:anchorId="4926C9BF" wp14:editId="5BE9B962">
            <wp:extent cx="3541903" cy="6432605"/>
            <wp:effectExtent l="0" t="0" r="190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4338" cy="643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4E9">
        <w:rPr>
          <w:lang w:val="ru-RU"/>
        </w:rPr>
        <w:br/>
      </w:r>
      <w:r w:rsidRPr="00D874E9">
        <w:rPr>
          <w:lang w:val="ru-RU"/>
        </w:rPr>
        <w:br/>
      </w:r>
      <w:r>
        <w:rPr>
          <w:lang w:val="ru-RU"/>
        </w:rPr>
        <w:t xml:space="preserve">Внутри этого докер </w:t>
      </w:r>
      <w:proofErr w:type="spellStart"/>
      <w:r>
        <w:rPr>
          <w:lang w:val="ru-RU"/>
        </w:rPr>
        <w:t>компоуа</w:t>
      </w:r>
      <w:proofErr w:type="spellEnd"/>
      <w:r>
        <w:rPr>
          <w:lang w:val="ru-RU"/>
        </w:rPr>
        <w:t xml:space="preserve"> разворачивается 4 контейнера, 3 из которых — это различные базы данных такие как </w:t>
      </w:r>
      <w:r>
        <w:t>PostgreSQL</w:t>
      </w:r>
      <w:r w:rsidRPr="00D874E9">
        <w:rPr>
          <w:lang w:val="ru-RU"/>
        </w:rPr>
        <w:t xml:space="preserve">, </w:t>
      </w:r>
      <w:r>
        <w:t>Redis</w:t>
      </w:r>
      <w:r w:rsidRPr="00D874E9">
        <w:rPr>
          <w:lang w:val="ru-RU"/>
        </w:rPr>
        <w:t xml:space="preserve">, </w:t>
      </w:r>
      <w:proofErr w:type="spellStart"/>
      <w:r>
        <w:t>MinIO</w:t>
      </w:r>
      <w:proofErr w:type="spellEnd"/>
      <w:r>
        <w:rPr>
          <w:lang w:val="ru-RU"/>
        </w:rPr>
        <w:t xml:space="preserve">. 4 контейнер это бэкенд написанный на </w:t>
      </w:r>
      <w:proofErr w:type="spellStart"/>
      <w:r>
        <w:t>golang</w:t>
      </w:r>
      <w:proofErr w:type="spellEnd"/>
      <w:r>
        <w:rPr>
          <w:lang w:val="ru-RU"/>
        </w:rPr>
        <w:t>, который запускается после запуска 3х контейнеров с базами данных.</w:t>
      </w:r>
    </w:p>
    <w:sectPr w:rsidR="00D874E9" w:rsidRPr="00D874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4E9"/>
    <w:rsid w:val="000C761A"/>
    <w:rsid w:val="001058FC"/>
    <w:rsid w:val="004A6B41"/>
    <w:rsid w:val="00D87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84E4D"/>
  <w15:chartTrackingRefBased/>
  <w15:docId w15:val="{6921FD16-408C-4FB6-BFED-A7D588A11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4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NKTKLN</dc:creator>
  <cp:keywords/>
  <dc:description/>
  <cp:lastModifiedBy>NKTKLN</cp:lastModifiedBy>
  <cp:revision>1</cp:revision>
  <dcterms:created xsi:type="dcterms:W3CDTF">2025-09-25T11:29:00Z</dcterms:created>
  <dcterms:modified xsi:type="dcterms:W3CDTF">2025-09-25T11:32:00Z</dcterms:modified>
</cp:coreProperties>
</file>