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4"/>
        <w:pBdr/>
        <w:spacing/>
        <w:ind/>
        <w:rPr/>
      </w:pPr>
      <w:r>
        <w:t xml:space="preserve">1. Проект и выбор рынка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Цель работы — предложить план выхода «Ягеля A1» на рынок Германии. Основная аудитория — владельцы локального умного дома. В отчёте рассмотрены выбор рынка, адаптация продукта и порядок запуска.</w:t>
      </w:r>
      <w:r/>
    </w:p>
    <w:p>
      <w:pPr>
        <w:pStyle w:val="705"/>
        <w:pBdr/>
        <w:spacing/>
        <w:ind/>
        <w:rPr/>
      </w:pPr>
      <w:r>
        <w:t xml:space="preserve">Что представляет собой продукт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«Ягель A1» — настольные часы </w:t>
      </w:r>
      <w:r>
        <w:rPr>
          <w:b w:val="0"/>
        </w:rPr>
        <w:t xml:space="preserve">на электронных чернилах и монитор воздуха. Он показывает CO₂, температуру, влажность и давление. Прототип использует ESP32-C3, датчики MH-Z19B и BME280, часы DS3231 и экран 2,9″. Схема, прошивка и модель корпуса открыты; в проекте указана лицензия MIT [1].</w:t>
      </w:r>
      <w:r/>
    </w:p>
    <w:p>
      <w:pPr>
        <w:pBdr/>
        <w:spacing/>
        <w:ind/>
        <w:jc w:val="left"/>
        <w:rPr/>
      </w:pPr>
      <w:r>
        <w:rPr>
          <w:b/>
        </w:rPr>
        <w:t xml:space="preserve">Главная идея — работа без обязательного облака и серверов производителя. Прибор измеряет параметры и показывает их на собственном экране. В целевой версии он также передаёт данные в домашнюю сеть, без регистрации в сервисе производителя и подписки.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Владелец сможет использовать Home Assistant на своём оборудовании для истории и автоматизаций. Интернет нужен только для добровольных функций, например синхронизации часов. При его отключении основные возможности должны сохраняться.</w:t>
      </w:r>
      <w:r/>
    </w:p>
    <w:p>
      <w:pPr>
        <w:pStyle w:val="705"/>
        <w:pBdr/>
        <w:spacing/>
        <w:ind/>
        <w:rPr/>
      </w:pPr>
      <w:r>
        <w:t xml:space="preserve">Что уже сделано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В проверенной прошивке реализован</w:t>
      </w:r>
      <w:r>
        <w:rPr>
          <w:b w:val="0"/>
        </w:rPr>
        <w:t xml:space="preserve">ы измерения, экран и чтение времени из DS3231. Интернет-синхронизация часов сейчас включена по умолчанию. Локальный HTTP API, MQTT и автоматическое подключение к Home Assistant пока предстоит реализовать. В отчёте они рассматриваются как план развития [1].</w:t>
      </w:r>
      <w:r/>
    </w:p>
    <w:p>
      <w:pPr>
        <w:pStyle w:val="705"/>
        <w:pBdr/>
        <w:spacing/>
        <w:ind/>
        <w:rPr/>
      </w:pPr>
      <w:r>
        <w:t xml:space="preserve">Почему выбрана Германия — задание № 1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По опросу Bitkom, в 2026 году 52% жителей Германии от 16 лет используют дома устройств</w:t>
      </w:r>
      <w:r>
        <w:rPr>
          <w:b w:val="0"/>
        </w:rPr>
        <w:t xml:space="preserve">а Smart Home; в 2024 году — 46%. Для 87% пользователей важны безопасность данных и приватность, для 79% — совместимость [2]. Поэтому Германия подходит для проверки устройства, которое подключается к существующему умному дому и оставляет данные у владельца.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Конкуренция уже есть: Aranet4 работает автономно и использует Bluetooth, а открытый AirGradient ONE подд</w:t>
      </w:r>
      <w:r>
        <w:rPr>
          <w:b w:val="0"/>
        </w:rPr>
        <w:t xml:space="preserve">ерживает локальный Home Assistant [3, 4]. «Ягель» предлагает сочетание часов на E-Ink, открытой конструкции и локального доступа. Объём продаж именно локальных CO₂-мониторов в Германии пока не подтверждён; его нельзя приравнивать ко всему рынку Smart Home.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NBS рекомендует готовить для пере</w:t>
      </w:r>
      <w:r>
        <w:rPr>
          <w:b w:val="0"/>
        </w:rPr>
        <w:t xml:space="preserve">говоров аргументы об общественной пользе продукта [17]. Для «Ягеля» это помощь в проветривании, возможность разумнее расходовать энергию и продлевать срок службы электроники. Эти преимущества нужно показать на конкретных примерах и подтвердить испытаниями.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4"/>
        <w:pBdr/>
        <w:spacing/>
        <w:ind/>
        <w:rPr/>
      </w:pPr>
      <w:r>
        <w:t xml:space="preserve">2. Польза и адаптация продукта — задание № 2</w:t>
      </w:r>
      <w:r/>
    </w:p>
    <w:p>
      <w:pPr>
        <w:pStyle w:val="705"/>
        <w:pBdr/>
        <w:spacing/>
        <w:ind/>
        <w:rPr/>
      </w:pPr>
      <w:r>
        <w:t xml:space="preserve">Здоровье и условия в помещении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Монитор помогает заметить рост CO₂ и вовремя проветрить </w:t>
      </w:r>
      <w:r>
        <w:rPr>
          <w:b w:val="0"/>
        </w:rPr>
        <w:t xml:space="preserve">комнату. Umweltbundesamt рассматривает CO₂ как показатель достаточности вентиляции; превышение 1 000 ppm — повод улучшить воздухообмен [14]. «Ягель» помогает поддерживать подходящие условия дома.</w:t>
      </w:r>
      <w:r/>
    </w:p>
    <w:p>
      <w:pPr>
        <w:pStyle w:val="705"/>
        <w:pBdr/>
        <w:spacing/>
        <w:ind/>
        <w:rPr/>
      </w:pPr>
      <w:r>
        <w:t xml:space="preserve">Энергоэффективность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Показания помогают проветривать по необходимости, а через Home Assistant — управлять совместимой вентиляцией. Это может уменьшить лишние тепло</w:t>
      </w:r>
      <w:r>
        <w:rPr>
          <w:b w:val="0"/>
        </w:rPr>
        <w:t xml:space="preserve">потери. Umweltbundesamt рекомендует правильное проветривание как часть экономного отопления [15]. </w:t>
      </w:r>
      <w:r/>
    </w:p>
    <w:p>
      <w:pPr>
        <w:pStyle w:val="705"/>
        <w:pBdr/>
        <w:spacing/>
        <w:ind/>
        <w:rPr/>
      </w:pPr>
      <w:r>
        <w:t xml:space="preserve">Экология и срок службы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Открытые схема, код и корпус создают основу для ремонта и замены деталей. Отсутствие обязательного облака позволяет сохранить осно</w:t>
      </w:r>
      <w:r>
        <w:rPr>
          <w:b w:val="0"/>
        </w:rPr>
        <w:t xml:space="preserve">вные функции при прекращении работы сервиса производителя. Для практической пользы нужны доступные запчасти и инструкция по ремонту. Продление срока использования электроники помогает беречь ресурсы [16]; экологический след самого «Ягеля» ещё не рассчитан.</w:t>
      </w:r>
      <w:r/>
    </w:p>
    <w:p>
      <w:pPr>
        <w:pStyle w:val="705"/>
        <w:pBdr/>
        <w:spacing/>
        <w:ind/>
        <w:rPr/>
      </w:pPr>
      <w:r>
        <w:t xml:space="preserve">Что изменить перед запуском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Интерфейс и документация. Подготовить немецкую инструкцию и страницу настройки, формат времени 24 часа, часовой пояс Германии с переходом на летнее время. Сохранить привычные единицы: °C, %, hPa и ppm.</w:t>
      </w:r>
      <w:r/>
      <w:r>
        <w:rPr>
          <w:b w:val="0"/>
        </w:rPr>
      </w:r>
      <w:r>
        <w:rPr>
          <w:b w:val="0"/>
        </w:rPr>
      </w:r>
      <w:r/>
      <w:r/>
    </w:p>
    <w:p>
      <w:pPr>
        <w:pBdr/>
        <w:spacing/>
        <w:ind/>
        <w:jc w:val="left"/>
        <w:rPr/>
      </w:pPr>
      <w:r>
        <w:rPr>
          <w:b w:val="0"/>
        </w:rPr>
        <w:t xml:space="preserve">Продвижение и </w:t>
      </w:r>
      <w:r>
        <w:rPr>
          <w:b w:val="0"/>
        </w:rPr>
        <w:t xml:space="preserve">поддержка. Показать три сценария: своевременное проветривание, управление вентиляцией и ремонт. Немецкий партнёр отвечает за первую линию поддержки и местные возвраты; команда — за прошивку и сложные вопросы. Инструкции должны быть доступны для скачивания.</w:t>
      </w:r>
      <w:r/>
    </w:p>
    <w:p>
      <w:pPr>
        <w:pStyle w:val="705"/>
        <w:pBdr/>
        <w:spacing/>
        <w:ind/>
        <w:rPr/>
      </w:pPr>
      <w:r>
        <w:t xml:space="preserve">Цена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Проверяемая гипотеза — 129 € с НДС, без подписки. При ставке НДС 19% продавцу</w:t>
      </w:r>
      <w:r>
        <w:rPr>
          <w:b w:val="0"/>
        </w:rPr>
        <w:t xml:space="preserve"> остаётся 108,40 € до расходов [5]. Из этой суммы оплачиваются производство, доля партнёра, доставка, возвраты и поддержка. До запуска нужно получить полную смету, отдельно учесть испытания и регистрации и проверить готовность покупателей платить эту цену.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4"/>
        <w:pBdr/>
        <w:spacing/>
        <w:ind/>
        <w:rPr/>
      </w:pPr>
      <w:r>
        <w:t xml:space="preserve">3. План выхода и риски — задание № 3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Выход планируется через немецкого продавца или интегратора</w:t>
      </w:r>
      <w:r>
        <w:rPr>
          <w:b w:val="0"/>
        </w:rPr>
        <w:t xml:space="preserve">. Команда разрабатывает прибор и отвечает за качество. Партнёр продаёт его, организует местную доставку и обслуживание; обязанности импортёра закрепляются договором. Сроки ниже — ориентиры. К следующему этапу переходят после выполнения условий предыдущего.</w:t>
      </w:r>
      <w:r/>
    </w:p>
    <w:p>
      <w:pPr>
        <w:pStyle w:val="705"/>
        <w:pBdr/>
        <w:spacing/>
        <w:ind/>
        <w:rPr/>
      </w:pPr>
      <w:r>
        <w:t xml:space="preserve">Этапы запуска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1. Провер</w:t>
      </w:r>
      <w:r>
        <w:rPr>
          <w:b w:val="0"/>
        </w:rPr>
        <w:t xml:space="preserve">ить законность поставок — месяц 1. Определить таможенный код и происхождение товара, проверить санкции, банки, участников сделки и перевозку. Получить заключение о допустимости поставок и расчётов. Партнёр в Германии сам по себе не снимает ограничений [6]</w:t>
      </w:r>
      <w:r>
        <w:rPr>
          <w:b w:val="0"/>
          <w:lang w:val="ru-RU"/>
        </w:rPr>
        <w:t xml:space="preserve">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2. Проверить спрос — месяцы 1–2. Провес</w:t>
      </w:r>
      <w:r>
        <w:rPr>
          <w:b w:val="0"/>
        </w:rPr>
        <w:t xml:space="preserve">ти 15 интервью, проверить цену 129 € и найти партнёра. Ориентир — минимум 10 заявок на пилот без оплаты. До переговоров подготовить немецкое описание общественной пользы: проветривание, план проверки энергосбережения, ремонт и независимость от облака [17].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3. Подготовить про</w:t>
      </w:r>
      <w:r>
        <w:rPr>
          <w:b w:val="0"/>
        </w:rPr>
        <w:t xml:space="preserve">дукт — месяцы 2–4. Завершить локальные функции и документацию, исправить крепления корпуса, проверить CO₂ по эталонному прибору. Измерить потребление, описать замену деталей. Выполнить применимые испытания и регистрации до передачи устройств пользователям.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4. </w:t>
      </w:r>
      <w:r>
        <w:rPr>
          <w:b w:val="0"/>
        </w:rPr>
        <w:t xml:space="preserve">Провести пилот — месяцы 4–5. Передать 30 приборов после правового допуска. Цели: минимум 27 самостоятельных подключений и 72 часа локальной работы без интернета. Собрать отзывы. Экономию оценивать по расходу энергии при сходных условиях и качестве воздуха.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5. Решить вопрос о росте — с месяца 6. Исправить проблемы, проверить возвраты и фактическую прибыль с устройства. Расширять продажи после подтверждения спроса и качества. Продвижение — через сообщества умного дома, обзоры и демонстрации партнёра.</w:t>
      </w:r>
      <w:r/>
    </w:p>
    <w:p>
      <w:pPr>
        <w:pStyle w:val="705"/>
        <w:pBdr/>
        <w:spacing/>
        <w:ind/>
        <w:rPr/>
      </w:pPr>
      <w:r>
        <w:t xml:space="preserve">Правовые условия и риски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До продаж нужно подтвердить соответствие тр</w:t>
      </w:r>
      <w:r>
        <w:rPr>
          <w:b w:val="0"/>
        </w:rPr>
        <w:t xml:space="preserve">ебованиям RED и RoHS, подготовить документы и маркировку CE [7, 8]. Определить обязанности по электроотходам и упаковке: WEEE/ElektroG и LUCID. Иностранному производителю без присутствия в Германии для WEEE-регистрации нужен местный уполномоченный [9, 10].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Нужно учесть кибербезопасность: применимые требования RED и CRA; отчётность CRA действует</w:t>
      </w:r>
      <w:r>
        <w:rPr>
          <w:b w:val="0"/>
        </w:rPr>
        <w:t xml:space="preserve"> с 11.09.2026, основные обязанности — с 11.12.2027 [7, 11]. У продавца должны быть предусмотрены 14-дневный отказ при дистанционной продаже и минимум 2 года законной ответственности за недостатки; данные заказов и обращений обрабатываются по GDPR [12, 13].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Главные риски — запрет поставки, высокие затраты, ошибки измерений. Их снижают проверкой сделки, полной сметой, испытаниями и небольшой партией. Пользу продукта подтверждают результатами пилота. При запрете поставок запуск останавливают.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4"/>
        <w:pBdr/>
        <w:spacing/>
        <w:ind/>
        <w:rPr/>
      </w:pPr>
      <w:r>
        <w:t xml:space="preserve">4. Выводы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«Ягель A1» выходит на немецкий рынок как открытый прибор для боле</w:t>
      </w:r>
      <w:r>
        <w:rPr>
          <w:b w:val="0"/>
        </w:rPr>
        <w:t xml:space="preserve">е осознанного проветривания и контроля условий дома. Общественная польза связана с заботой о качестве воздуха, возможностью разумнее управлять вентиляцией и продлевать срок службы устройства. Работа без обязательного облака сохраняется как основа продукта.</w:t>
      </w:r>
      <w:r/>
    </w:p>
    <w:p>
      <w:pPr>
        <w:pBdr/>
        <w:spacing/>
        <w:ind/>
        <w:jc w:val="left"/>
        <w:rPr/>
      </w:pPr>
      <w:r>
        <w:rPr>
          <w:b w:val="0"/>
        </w:rPr>
        <w:t xml:space="preserve">Первый шаг — проверить спрос и законность п</w:t>
      </w:r>
      <w:r>
        <w:rPr>
          <w:b w:val="0"/>
        </w:rPr>
        <w:t xml:space="preserve">оставок. Затем подготовить локальные функции, немецкую документацию и пилот из 30 приборов через местного партнёра. Цена 129 € и экономия энергии остаются гипотезами до проверки. Увеличивать продажи следует после подтверждения качества, спроса и экономики.</w:t>
      </w:r>
      <w:r/>
    </w:p>
    <w:p>
      <w:pPr>
        <w:pStyle w:val="704"/>
        <w:pBdr/>
        <w:spacing/>
        <w:ind/>
        <w:rPr/>
      </w:pPr>
      <w:r>
        <w:t xml:space="preserve">5. Источники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[1] </w:t>
      </w:r>
      <w:hyperlink r:id="rId11" w:tooltip="https://github.com/NKTKLN/eink-environment-clock" w:history="1">
        <w:r>
          <w:rPr>
            <w:color w:val="000000"/>
            <w:sz w:val="21"/>
            <w:u w:val="single"/>
          </w:rPr>
          <w:t xml:space="preserve">Материалы проекта и исходники eink-environment-clock.</w:t>
        </w:r>
      </w:hyperlink>
      <w:r>
        <w:rPr>
          <w:sz w:val="21"/>
        </w:rPr>
        <w:t xml:space="preserve"> Локально: README.md, firmware/src/app_main.c, app_config.h, net_time.c, LICENSE; паспорт проекта в accelerator/.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[2] </w:t>
      </w:r>
      <w:hyperlink r:id="rId12" w:tooltip="https://www.bitkom.org/Presse/Presseinformation/Smart-Home-vom-Thermostat-zum-Roboter" w:history="1">
        <w:r>
          <w:rPr>
            <w:color w:val="000000"/>
            <w:sz w:val="21"/>
            <w:u w:val="single"/>
          </w:rPr>
          <w:t xml:space="preserve">Bitkom. Smart Home: Vom WLAN-Thermostat zum menschenähnlichen Roboter.</w:t>
        </w:r>
      </w:hyperlink>
      <w:r>
        <w:rPr>
          <w:sz w:val="21"/>
        </w:rPr>
        <w:t xml:space="preserve"> 24.08.2026. Опрос, методика и показатели рынка.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[3] </w:t>
      </w:r>
      <w:hyperlink r:id="rId13" w:tooltip="https://help.aranet.com/aranet4/aranet4-home/faq" w:history="1">
        <w:r>
          <w:rPr>
            <w:color w:val="000000"/>
            <w:sz w:val="21"/>
            <w:u w:val="single"/>
          </w:rPr>
          <w:t xml:space="preserve">Aranet. Aranet4 HOME — FAQ.</w:t>
        </w:r>
      </w:hyperlink>
      <w:r>
        <w:rPr>
          <w:sz w:val="21"/>
        </w:rPr>
        <w:t xml:space="preserve"> Автономная работа и Bluetooth.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[4] </w:t>
      </w:r>
      <w:hyperlink r:id="rId14" w:tooltip="https://www.airgradient.com/indoor/" w:history="1">
        <w:r>
          <w:rPr>
            <w:color w:val="000000"/>
            <w:sz w:val="21"/>
            <w:u w:val="single"/>
          </w:rPr>
          <w:t xml:space="preserve">AirGradient. Indoor Air Quality Monitor / ONE.</w:t>
        </w:r>
      </w:hyperlink>
      <w:r>
        <w:rPr>
          <w:sz w:val="21"/>
        </w:rPr>
        <w:t xml:space="preserve"> Открытость и локальная интеграция Home Assistant.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[5] </w:t>
      </w:r>
      <w:hyperlink r:id="rId15" w:tooltip="https://usth.bundesfinanzministerium.de/usth/2024/A-Umsatzsteuergesetz/IV-Steuer-und-Vorsteuer/Paragraf-12/inhalt.html" w:history="1">
        <w:r>
          <w:rPr>
            <w:color w:val="000000"/>
            <w:sz w:val="21"/>
            <w:u w:val="single"/>
          </w:rPr>
          <w:t xml:space="preserve">BMF. Umsatzsteuer, § 12 — Steuersätze.</w:t>
        </w:r>
      </w:hyperlink>
      <w:r>
        <w:rPr>
          <w:sz w:val="21"/>
        </w:rPr>
        <w:t xml:space="preserve"> Стандартная ставка 19%.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[6] </w:t>
      </w:r>
      <w:hyperlink r:id="rId16" w:tooltip="https://www.consilium.europa.eu/en/policies/sanctions-against-russia-explained/" w:history="1">
        <w:r>
          <w:rPr>
            <w:color w:val="000000"/>
            <w:sz w:val="21"/>
            <w:u w:val="single"/>
          </w:rPr>
          <w:t xml:space="preserve">Совет ЕС. EU sanctions against Russia: questions and answers.</w:t>
        </w:r>
      </w:hyperlink>
      <w:r>
        <w:rPr>
          <w:sz w:val="21"/>
        </w:rPr>
        <w:t xml:space="preserve"> Ограничения торговли, расчётов и противодействие обходу.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[7] </w:t>
      </w:r>
      <w:hyperlink r:id="rId17" w:tooltip="https://single-market-economy.ec.europa.eu/sectors/electrical-and-electronic-engineering-industries-eei/radio-equipment-directive-red_en" w:history="1">
        <w:r>
          <w:rPr>
            <w:color w:val="000000"/>
            <w:sz w:val="21"/>
            <w:u w:val="single"/>
          </w:rPr>
          <w:t xml:space="preserve">Еврокомиссия. Radio Equipment Directive (RED).</w:t>
        </w:r>
      </w:hyperlink>
      <w:r>
        <w:rPr>
          <w:sz w:val="21"/>
        </w:rPr>
        <w:t xml:space="preserve"> Безопасность, радиочастоты, CE и кибербезопасность.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[8] </w:t>
      </w:r>
      <w:hyperlink r:id="rId18" w:tooltip="https://environment.ec.europa.eu/topics/waste-and-recycling/rohs-directive_en" w:history="1">
        <w:r>
          <w:rPr>
            <w:color w:val="000000"/>
            <w:sz w:val="21"/>
            <w:u w:val="single"/>
          </w:rPr>
          <w:t xml:space="preserve">Еврокомиссия. RoHS Directive.</w:t>
        </w:r>
      </w:hyperlink>
      <w:r>
        <w:rPr>
          <w:sz w:val="21"/>
        </w:rPr>
        <w:t xml:space="preserve"> Ограничения опасных веществ в электронике.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[9] </w:t>
      </w:r>
      <w:hyperlink r:id="rId19" w:tooltip="https://www.stiftung-ear.de/anleitungen/weee-nummer-beantragen-als-auslaendisches-unternehmen/" w:history="1">
        <w:r>
          <w:rPr>
            <w:color w:val="000000"/>
            <w:sz w:val="21"/>
            <w:u w:val="single"/>
          </w:rPr>
          <w:t xml:space="preserve">Stiftung ear. WEEE-Registrierung als ausländisches Unternehmen.</w:t>
        </w:r>
      </w:hyperlink>
      <w:r>
        <w:rPr>
          <w:sz w:val="21"/>
        </w:rPr>
        <w:t xml:space="preserve"> Регистрация и уполномоченный представитель.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[10] </w:t>
      </w:r>
      <w:hyperlink r:id="rId20" w:tooltip="https://www.verpackungsregister.org/en/knowledge-bases/mail-order-companies-and-online-retailers" w:history="1">
        <w:r>
          <w:rPr>
            <w:color w:val="000000"/>
            <w:sz w:val="21"/>
            <w:u w:val="single"/>
          </w:rPr>
          <w:t xml:space="preserve">ZSVR. The Verpackungsgesetz and online retailers.</w:t>
        </w:r>
      </w:hyperlink>
      <w:r>
        <w:rPr>
          <w:sz w:val="21"/>
        </w:rPr>
        <w:t xml:space="preserve"> Упаковка, LUCID и обязанности участников поставки.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[11] </w:t>
      </w:r>
      <w:hyperlink r:id="rId21" w:tooltip="https://digital-strategy.ec.europa.eu/en/policies/cyber-resilience-act" w:history="1">
        <w:r>
          <w:rPr>
            <w:color w:val="000000"/>
            <w:sz w:val="21"/>
            <w:u w:val="single"/>
          </w:rPr>
          <w:t xml:space="preserve">Еврокомиссия. Cyber Resilience Act.</w:t>
        </w:r>
      </w:hyperlink>
      <w:r>
        <w:rPr>
          <w:sz w:val="21"/>
        </w:rPr>
        <w:t xml:space="preserve"> Обязанности производителя и сроки применения.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[12] </w:t>
      </w:r>
      <w:hyperlink r:id="rId22" w:tooltip="https://europa.eu/youreurope/business/selling-in-eu/consumer-contracts-guarantees/consumer-guarantees/index_en.htm" w:history="1">
        <w:r>
          <w:rPr>
            <w:color w:val="000000"/>
            <w:sz w:val="21"/>
            <w:u w:val="single"/>
          </w:rPr>
          <w:t xml:space="preserve">Your Europe. Consumer guarantees, warranties, claims and returns.</w:t>
        </w:r>
      </w:hyperlink>
      <w:r>
        <w:rPr>
          <w:sz w:val="21"/>
        </w:rPr>
        <w:t xml:space="preserve"> Правила дистанционной продажи и ответственность за недостатки.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[13] </w:t>
      </w:r>
      <w:hyperlink r:id="rId23" w:tooltip="https://commission.europa.eu/law/law-topic/data-protection/information-business-and-organisations/application-gdpr_en" w:history="1">
        <w:r>
          <w:rPr>
            <w:color w:val="000000"/>
            <w:sz w:val="21"/>
            <w:u w:val="single"/>
          </w:rPr>
          <w:t xml:space="preserve">Еврокомиссия. Application of the GDPR.</w:t>
        </w:r>
      </w:hyperlink>
      <w:r>
        <w:rPr>
          <w:sz w:val="21"/>
        </w:rPr>
        <w:t xml:space="preserve"> Применимость к обработке персональных данных.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[14] </w:t>
      </w:r>
      <w:hyperlink r:id="rId24" w:tooltip="https://www.umweltbundesamt.de/richtig-lueften-in-schulen" w:history="1">
        <w:r>
          <w:rPr>
            <w:color w:val="000000"/>
            <w:sz w:val="21"/>
            <w:u w:val="single"/>
          </w:rPr>
          <w:t xml:space="preserve">Umweltbundesamt. Richtig Lüften in Schulen.</w:t>
        </w:r>
      </w:hyperlink>
      <w:r>
        <w:rPr>
          <w:sz w:val="21"/>
        </w:rPr>
        <w:t xml:space="preserve"> CO₂ как показатель вентиляции, рекомендации по проветриванию.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[15] </w:t>
      </w:r>
      <w:hyperlink r:id="rId25" w:tooltip="https://www.umweltbundesamt.de/umwelttipps-fuer-den-alltag/richtiges-heizen-schuetzt-das-klima-den-geldbeutel" w:history="1">
        <w:r>
          <w:rPr>
            <w:color w:val="000000"/>
            <w:sz w:val="21"/>
            <w:u w:val="single"/>
          </w:rPr>
          <w:t xml:space="preserve">Umweltbundesamt. Richtiges Heizen schützt das Klima und den Geldbeutel.</w:t>
        </w:r>
      </w:hyperlink>
      <w:r>
        <w:rPr>
          <w:sz w:val="21"/>
        </w:rPr>
        <w:t xml:space="preserve"> Отопление, проветривание и энергосбережение.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[16] </w:t>
      </w:r>
      <w:hyperlink r:id="rId26" w:tooltip="https://www.umweltbundesamt.de/publikationen/verlaengerung-der-produktnutzungsdauer" w:history="1">
        <w:r>
          <w:rPr>
            <w:color w:val="000000"/>
            <w:sz w:val="21"/>
            <w:u w:val="single"/>
          </w:rPr>
          <w:t xml:space="preserve">Umweltbundesamt. Verlängerung der Produktnutzungsdauer.</w:t>
        </w:r>
      </w:hyperlink>
      <w:r>
        <w:rPr>
          <w:sz w:val="21"/>
        </w:rPr>
        <w:t xml:space="preserve"> 2020. Срок службы электроники и сохранение ресурсов.</w:t>
      </w:r>
      <w:r/>
    </w:p>
    <w:p>
      <w:pPr>
        <w:pBdr/>
        <w:spacing w:after="120" w:line="240" w:lineRule="auto"/>
        <w:ind/>
        <w:rPr/>
      </w:pPr>
      <w:r>
        <w:rPr>
          <w:sz w:val="21"/>
        </w:rPr>
        <w:t xml:space="preserve">[17] </w:t>
      </w:r>
      <w:hyperlink r:id="rId27" w:tooltip="https://nbs-research.com/business/marketing/немецкий-рынок-где-вход" w:history="1">
        <w:r>
          <w:rPr>
            <w:color w:val="000000"/>
            <w:sz w:val="21"/>
            <w:u w:val="single"/>
          </w:rPr>
          <w:t xml:space="preserve">NBS. Немецкий рынок: где вход?</w:t>
        </w:r>
      </w:hyperlink>
      <w:r>
        <w:rPr>
          <w:sz w:val="21"/>
        </w:rPr>
        <w:t xml:space="preserve"> 15.06.2019. Практический пример аргументов для переговоров; не исследование всех покупателей.</w:t>
      </w:r>
      <w:r/>
    </w:p>
    <w:sectPr>
      <w:footerReference w:type="default" r:id="rId9"/>
      <w:footnotePr/>
      <w:endnotePr/>
      <w:type w:val="nextPage"/>
      <w:pgSz w:h="16838" w:orient="portrait" w:w="11906"/>
      <w:pgMar w:top="1020" w:right="1020" w:bottom="964" w:left="1247" w:header="397" w:footer="397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pBdr/>
      <w:spacing/>
      <w:ind/>
      <w:jc w:val="center"/>
      <w:rPr/>
    </w:pP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widowControl w:val="true"/>
      <w:pBdr/>
      <w:spacing w:after="120" w:line="276" w:lineRule="auto"/>
      <w:ind/>
    </w:pPr>
    <w:rPr>
      <w:rFonts w:ascii="Times New Roman" w:hAnsi="Times New Roman"/>
      <w:sz w:val="24"/>
    </w:rPr>
  </w:style>
  <w:style w:type="paragraph" w:styleId="700">
    <w:name w:val="Header"/>
    <w:basedOn w:val="699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1" w:customStyle="1">
    <w:name w:val="Header Char"/>
    <w:basedOn w:val="713"/>
    <w:link w:val="700"/>
    <w:uiPriority w:val="99"/>
    <w:pPr>
      <w:pBdr/>
      <w:spacing/>
      <w:ind/>
    </w:pPr>
  </w:style>
  <w:style w:type="paragraph" w:styleId="702">
    <w:name w:val="Footer"/>
    <w:basedOn w:val="699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Footer Char"/>
    <w:basedOn w:val="713"/>
    <w:link w:val="702"/>
    <w:uiPriority w:val="99"/>
    <w:pPr>
      <w:pBdr/>
      <w:spacing/>
      <w:ind/>
    </w:pPr>
  </w:style>
  <w:style w:type="paragraph" w:styleId="704">
    <w:name w:val="Heading 1"/>
    <w:basedOn w:val="699"/>
    <w:next w:val="699"/>
    <w:link w:val="717"/>
    <w:uiPriority w:val="9"/>
    <w:qFormat/>
    <w:pPr>
      <w:keepNext w:val="true"/>
      <w:keepLines w:val="true"/>
      <w:pBdr/>
      <w:spacing w:after="120" w:before="180"/>
      <w:ind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705">
    <w:name w:val="Heading 2"/>
    <w:basedOn w:val="699"/>
    <w:next w:val="699"/>
    <w:link w:val="718"/>
    <w:uiPriority w:val="9"/>
    <w:unhideWhenUsed/>
    <w:qFormat/>
    <w:pPr>
      <w:keepNext w:val="true"/>
      <w:keepLines w:val="true"/>
      <w:pBdr/>
      <w:spacing w:after="120" w:before="180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706">
    <w:name w:val="Heading 3"/>
    <w:basedOn w:val="699"/>
    <w:next w:val="699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7">
    <w:name w:val="Heading 4"/>
    <w:basedOn w:val="699"/>
    <w:next w:val="699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8">
    <w:name w:val="Heading 5"/>
    <w:basedOn w:val="699"/>
    <w:next w:val="699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9">
    <w:name w:val="Heading 6"/>
    <w:basedOn w:val="699"/>
    <w:next w:val="699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0">
    <w:name w:val="Heading 7"/>
    <w:basedOn w:val="699"/>
    <w:next w:val="699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699"/>
    <w:next w:val="699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2">
    <w:name w:val="Heading 9"/>
    <w:basedOn w:val="699"/>
    <w:next w:val="699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No Spacing"/>
    <w:uiPriority w:val="1"/>
    <w:qFormat/>
    <w:pPr>
      <w:pBdr/>
      <w:spacing w:after="0" w:line="240" w:lineRule="auto"/>
      <w:ind/>
    </w:pPr>
  </w:style>
  <w:style w:type="character" w:styleId="717" w:customStyle="1">
    <w:name w:val="Heading 1 Char"/>
    <w:basedOn w:val="713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8" w:customStyle="1">
    <w:name w:val="Heading 2 Char"/>
    <w:basedOn w:val="713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9" w:customStyle="1">
    <w:name w:val="Heading 3 Char"/>
    <w:basedOn w:val="713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Title"/>
    <w:basedOn w:val="699"/>
    <w:next w:val="699"/>
    <w:link w:val="721"/>
    <w:uiPriority w:val="10"/>
    <w:qFormat/>
    <w:pPr>
      <w:pBdr>
        <w:bottom w:val="single" w:color="4f81bd" w:themeColor="accent1" w:sz="8" w:space="4"/>
      </w:pBdr>
      <w:spacing w:after="120" w:before="180" w:line="240" w:lineRule="auto"/>
      <w:ind/>
      <w:contextualSpacing w:val="true"/>
    </w:pPr>
    <w:rPr>
      <w:rFonts w:ascii="Times New Roman" w:hAnsi="Times New Roman" w:asciiTheme="majorHAnsi" w:hAnsiTheme="majorHAnsi" w:eastAsiaTheme="majorEastAsia" w:cstheme="majorBidi"/>
      <w:color w:val="000000"/>
      <w:spacing w:val="5"/>
      <w:sz w:val="40"/>
      <w:szCs w:val="52"/>
    </w:rPr>
  </w:style>
  <w:style w:type="character" w:styleId="721" w:customStyle="1">
    <w:name w:val="Title Char"/>
    <w:basedOn w:val="713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2">
    <w:name w:val="Subtitle"/>
    <w:basedOn w:val="699"/>
    <w:next w:val="699"/>
    <w:link w:val="72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3" w:customStyle="1">
    <w:name w:val="Subtitle Char"/>
    <w:basedOn w:val="713"/>
    <w:link w:val="7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4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25">
    <w:name w:val="Body Text"/>
    <w:basedOn w:val="699"/>
    <w:link w:val="726"/>
    <w:uiPriority w:val="99"/>
    <w:unhideWhenUsed/>
    <w:pPr>
      <w:pBdr/>
      <w:spacing w:after="120"/>
      <w:ind/>
    </w:pPr>
  </w:style>
  <w:style w:type="character" w:styleId="726" w:customStyle="1">
    <w:name w:val="Body Text Char"/>
    <w:basedOn w:val="713"/>
    <w:link w:val="725"/>
    <w:uiPriority w:val="99"/>
    <w:pPr>
      <w:pBdr/>
      <w:spacing/>
      <w:ind/>
    </w:pPr>
  </w:style>
  <w:style w:type="paragraph" w:styleId="727">
    <w:name w:val="Body Text 2"/>
    <w:basedOn w:val="699"/>
    <w:link w:val="728"/>
    <w:uiPriority w:val="99"/>
    <w:unhideWhenUsed/>
    <w:pPr>
      <w:pBdr/>
      <w:spacing w:after="120" w:line="480" w:lineRule="auto"/>
      <w:ind/>
    </w:pPr>
  </w:style>
  <w:style w:type="character" w:styleId="728" w:customStyle="1">
    <w:name w:val="Body Text 2 Char"/>
    <w:basedOn w:val="713"/>
    <w:link w:val="727"/>
    <w:uiPriority w:val="99"/>
    <w:pPr>
      <w:pBdr/>
      <w:spacing/>
      <w:ind/>
    </w:pPr>
  </w:style>
  <w:style w:type="paragraph" w:styleId="729">
    <w:name w:val="Body Text 3"/>
    <w:basedOn w:val="699"/>
    <w:link w:val="7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0" w:customStyle="1">
    <w:name w:val="Body Text 3 Char"/>
    <w:basedOn w:val="713"/>
    <w:link w:val="729"/>
    <w:uiPriority w:val="99"/>
    <w:pPr>
      <w:pBdr/>
      <w:spacing/>
      <w:ind/>
    </w:pPr>
    <w:rPr>
      <w:sz w:val="16"/>
      <w:szCs w:val="16"/>
    </w:rPr>
  </w:style>
  <w:style w:type="paragraph" w:styleId="731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32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33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3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List Number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8">
    <w:name w:val="List Number 2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9">
    <w:name w:val="List Number 3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0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741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742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743">
    <w:name w:val="macro"/>
    <w:link w:val="7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4" w:customStyle="1">
    <w:name w:val="Macro Text Char"/>
    <w:basedOn w:val="713"/>
    <w:link w:val="7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5">
    <w:name w:val="Quote"/>
    <w:basedOn w:val="699"/>
    <w:next w:val="699"/>
    <w:link w:val="7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Quote Char"/>
    <w:basedOn w:val="713"/>
    <w:link w:val="745"/>
    <w:uiPriority w:val="29"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Heading 4 Char"/>
    <w:basedOn w:val="713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8" w:customStyle="1">
    <w:name w:val="Heading 5 Char"/>
    <w:basedOn w:val="713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9" w:customStyle="1">
    <w:name w:val="Heading 6 Char"/>
    <w:basedOn w:val="713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0" w:customStyle="1">
    <w:name w:val="Heading 7 Char"/>
    <w:basedOn w:val="713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1" w:customStyle="1">
    <w:name w:val="Heading 8 Char"/>
    <w:basedOn w:val="713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2" w:customStyle="1">
    <w:name w:val="Heading 9 Char"/>
    <w:basedOn w:val="713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3">
    <w:name w:val="Caption"/>
    <w:basedOn w:val="699"/>
    <w:next w:val="6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4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755">
    <w:name w:val="Emphasis"/>
    <w:basedOn w:val="713"/>
    <w:uiPriority w:val="20"/>
    <w:qFormat/>
    <w:pPr>
      <w:pBdr/>
      <w:spacing/>
      <w:ind/>
    </w:pPr>
    <w:rPr>
      <w:i/>
      <w:iCs/>
    </w:rPr>
  </w:style>
  <w:style w:type="paragraph" w:styleId="756">
    <w:name w:val="Intense Quote"/>
    <w:basedOn w:val="699"/>
    <w:next w:val="699"/>
    <w:link w:val="7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7" w:customStyle="1">
    <w:name w:val="Intense Quote Char"/>
    <w:basedOn w:val="713"/>
    <w:link w:val="7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8">
    <w:name w:val="Subtle Emphasis"/>
    <w:basedOn w:val="7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9">
    <w:name w:val="Intense Emphasis"/>
    <w:basedOn w:val="7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Reference"/>
    <w:basedOn w:val="7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1">
    <w:name w:val="Intense Reference"/>
    <w:basedOn w:val="7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2">
    <w:name w:val="Book Title"/>
    <w:basedOn w:val="7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3">
    <w:name w:val="TOC Heading"/>
    <w:basedOn w:val="704"/>
    <w:next w:val="699"/>
    <w:uiPriority w:val="39"/>
    <w:semiHidden/>
    <w:unhideWhenUsed/>
    <w:qFormat/>
    <w:pPr>
      <w:pBdr/>
      <w:spacing/>
      <w:ind/>
      <w:outlineLvl w:val="9"/>
    </w:pPr>
  </w:style>
  <w:style w:type="table" w:styleId="764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"/>
    <w:basedOn w:val="7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1"/>
    <w:basedOn w:val="7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2"/>
    <w:basedOn w:val="7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3"/>
    <w:basedOn w:val="7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4"/>
    <w:basedOn w:val="7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5"/>
    <w:basedOn w:val="7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6"/>
    <w:basedOn w:val="7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1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2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3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4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5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6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1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2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3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4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5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6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2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3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4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5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6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1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3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4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5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6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2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3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4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5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6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1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3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4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5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6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2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3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4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5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6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1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3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4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5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6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1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2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4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5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6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1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2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3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4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5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6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1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2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3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4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5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6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1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2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3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4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5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6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1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2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3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4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5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6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github.com/NKTKLN/eink-environment-clock" TargetMode="External"/><Relationship Id="rId12" Type="http://schemas.openxmlformats.org/officeDocument/2006/relationships/hyperlink" Target="https://www.bitkom.org/Presse/Presseinformation/Smart-Home-vom-Thermostat-zum-Roboter" TargetMode="External"/><Relationship Id="rId13" Type="http://schemas.openxmlformats.org/officeDocument/2006/relationships/hyperlink" Target="https://help.aranet.com/aranet4/aranet4-home/faq" TargetMode="External"/><Relationship Id="rId14" Type="http://schemas.openxmlformats.org/officeDocument/2006/relationships/hyperlink" Target="https://www.airgradient.com/indoor/" TargetMode="External"/><Relationship Id="rId15" Type="http://schemas.openxmlformats.org/officeDocument/2006/relationships/hyperlink" Target="https://usth.bundesfinanzministerium.de/usth/2024/A-Umsatzsteuergesetz/IV-Steuer-und-Vorsteuer/Paragraf-12/inhalt.html" TargetMode="External"/><Relationship Id="rId16" Type="http://schemas.openxmlformats.org/officeDocument/2006/relationships/hyperlink" Target="https://www.consilium.europa.eu/en/policies/sanctions-against-russia-explained/" TargetMode="External"/><Relationship Id="rId17" Type="http://schemas.openxmlformats.org/officeDocument/2006/relationships/hyperlink" Target="https://single-market-economy.ec.europa.eu/sectors/electrical-and-electronic-engineering-industries-eei/radio-equipment-directive-red_en" TargetMode="External"/><Relationship Id="rId18" Type="http://schemas.openxmlformats.org/officeDocument/2006/relationships/hyperlink" Target="https://environment.ec.europa.eu/topics/waste-and-recycling/rohs-directive_en" TargetMode="External"/><Relationship Id="rId19" Type="http://schemas.openxmlformats.org/officeDocument/2006/relationships/hyperlink" Target="https://www.stiftung-ear.de/anleitungen/weee-nummer-beantragen-als-auslaendisches-unternehmen/" TargetMode="External"/><Relationship Id="rId20" Type="http://schemas.openxmlformats.org/officeDocument/2006/relationships/hyperlink" Target="https://www.verpackungsregister.org/en/knowledge-bases/mail-order-companies-and-online-retailers" TargetMode="External"/><Relationship Id="rId21" Type="http://schemas.openxmlformats.org/officeDocument/2006/relationships/hyperlink" Target="https://digital-strategy.ec.europa.eu/en/policies/cyber-resilience-act" TargetMode="External"/><Relationship Id="rId22" Type="http://schemas.openxmlformats.org/officeDocument/2006/relationships/hyperlink" Target="https://europa.eu/youreurope/business/selling-in-eu/consumer-contracts-guarantees/consumer-guarantees/index_en.htm" TargetMode="External"/><Relationship Id="rId23" Type="http://schemas.openxmlformats.org/officeDocument/2006/relationships/hyperlink" Target="https://commission.europa.eu/law/law-topic/data-protection/information-business-and-organisations/application-gdpr_en" TargetMode="External"/><Relationship Id="rId24" Type="http://schemas.openxmlformats.org/officeDocument/2006/relationships/hyperlink" Target="https://www.umweltbundesamt.de/richtig-lueften-in-schulen" TargetMode="External"/><Relationship Id="rId25" Type="http://schemas.openxmlformats.org/officeDocument/2006/relationships/hyperlink" Target="https://www.umweltbundesamt.de/umwelttipps-fuer-den-alltag/richtiges-heizen-schuetzt-das-klima-den-geldbeutel" TargetMode="External"/><Relationship Id="rId26" Type="http://schemas.openxmlformats.org/officeDocument/2006/relationships/hyperlink" Target="https://www.umweltbundesamt.de/publikationen/verlaengerung-der-produktnutzungsdauer" TargetMode="External"/><Relationship Id="rId27" Type="http://schemas.openxmlformats.org/officeDocument/2006/relationships/hyperlink" Target="https://nbs-research.com/business/marketing/&#1085;&#1077;&#1084;&#1077;&#1094;&#1082;&#1080;&#1081;-&#1088;&#1099;&#1085;&#1086;&#1082;-&#1075;&#1076;&#1077;-&#1074;&#1093;&#1086;&#1076;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№14 — Международное расширение «Ягель A1»</dc:title>
  <dc:subject>Германия: экология, энергоэффективность, здоровье и работа без обязательного облака</dc:subject>
  <dc:creator>Калинин Никита Викторович</dc:creator>
  <cp:keywords>Ягель, YAGEL, Германия, локальный умный дом, практическая 14</cp:keywords>
  <dc:description>generated by python-docx</dc:description>
  <cp:revision>2</cp:revision>
  <dcterms:created xsi:type="dcterms:W3CDTF">2013-12-23T23:15:00Z</dcterms:created>
  <dcterms:modified xsi:type="dcterms:W3CDTF">2026-10-13T07:06:01Z</dcterms:modified>
  <cp:category/>
</cp:coreProperties>
</file>