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Проект и выбор рынка</w:t>
      </w:r>
    </w:p>
    <w:p>
      <w:pPr>
        <w:jc w:val="left"/>
      </w:pPr>
      <w:r>
        <w:rPr>
          <w:b w:val="0"/>
        </w:rPr>
        <w:t>Команда планирует выйти на рынок Германии через местного продавца или интегратора. Первые покупатели: владельцы Home Assistant и других локальных систем умного дома.</w:t>
      </w:r>
    </w:p>
    <w:p>
      <w:pPr>
        <w:pStyle w:val="Heading2"/>
      </w:pPr>
      <w:r>
        <w:t>Что представляет собой продукт</w:t>
      </w:r>
    </w:p>
    <w:p>
      <w:pPr>
        <w:jc w:val="left"/>
      </w:pPr>
      <w:r>
        <w:rPr>
          <w:b w:val="0"/>
        </w:rPr>
        <w:t>«Ягель A1» показывает время, CO₂, температуру, влажность и давление на экране 2,9″. В приборе установлены ESP32-C3, датчики MH-Z19B и BME280, часы DS3231. Пользователь может открыть схему, прошивку и модель корпуса по лицензии MIT [1].</w:t>
      </w:r>
    </w:p>
    <w:p>
      <w:pPr>
        <w:jc w:val="left"/>
      </w:pPr>
      <w:r>
        <w:rPr>
          <w:b/>
        </w:rPr>
        <w:t>Прибор работает без обязательного облака и серверов производителя. Пользователь видит показания на экране и получает их через локальный API. Для этого ему не нужны регистрация в сервисе производителя и подписка.</w:t>
      </w:r>
    </w:p>
    <w:p>
      <w:pPr>
        <w:jc w:val="left"/>
      </w:pPr>
      <w:r>
        <w:rPr>
          <w:b w:val="0"/>
        </w:rPr>
        <w:t>Владелец хранит историю и настраивает автоматизации в своей домашней системе. Синхронизацию часов через интернет включает по желанию.</w:t>
      </w:r>
    </w:p>
    <w:p>
      <w:pPr>
        <w:pStyle w:val="Heading2"/>
      </w:pPr>
      <w:r>
        <w:t>Готовность продукта</w:t>
      </w:r>
    </w:p>
    <w:p>
      <w:pPr>
        <w:jc w:val="left"/>
      </w:pPr>
      <w:r>
        <w:rPr>
          <w:b w:val="0"/>
        </w:rPr>
        <w:t>В прошивке реализованы измерения, локальный API и настройка через интерфейс устройства. Владелец меняет параметры без правки кода и перепрошивки. Перед передачей партии команда проверит работу в разных домашних сетях.</w:t>
      </w:r>
    </w:p>
    <w:p>
      <w:pPr>
        <w:pStyle w:val="Heading2"/>
      </w:pPr>
      <w:r>
        <w:t>Почему выбрана Германия (задание № 1)</w:t>
      </w:r>
    </w:p>
    <w:p>
      <w:pPr>
        <w:jc w:val="left"/>
      </w:pPr>
      <w:r>
        <w:rPr>
          <w:b w:val="0"/>
        </w:rPr>
        <w:t>По опросу Bitkom, в 2026 году 52% жителей Германии от 16 лет используют дома устройства Smart Home; в 2024 году их было 46%. Среди пользователей 87% учитывают безопасность данных и приватность, 79% совместимость устройств [2]. Для этой аудитории команда покажет подключение «Ягеля» к домашней системе и работу без интернета.</w:t>
      </w:r>
    </w:p>
    <w:p>
      <w:pPr>
        <w:jc w:val="left"/>
      </w:pPr>
      <w:r>
        <w:rPr>
          <w:b w:val="0"/>
        </w:rPr>
        <w:t>Покупатели уже могут выбрать Aranet4 с E-Ink экраном и Bluetooth или открытый AirGradient ONE с локальным подключением к Home Assistant [3, 4]. Команда сравнит «Ягель» с ними по цене, настройке, ремонту и поддержке. Число потенциальных покупателей уточнит на интервью.</w:t>
      </w:r>
    </w:p>
    <w:p>
      <w:pPr>
        <w:jc w:val="left"/>
      </w:pPr>
      <w:r>
        <w:rPr>
          <w:b w:val="0"/>
        </w:rPr>
        <w:t>NBS советует перед переговорами подготовить аргументы об общественной пользе продукта [17]. Команда покажет партнёру три примера: проветривание по показаниям CO₂, управление вентиляцией и замену деталей при ремонте.</w:t>
      </w:r>
    </w:p>
    <w:p>
      <w:r>
        <w:br w:type="page"/>
      </w:r>
    </w:p>
    <w:p>
      <w:pPr>
        <w:pStyle w:val="Heading1"/>
      </w:pPr>
      <w:r>
        <w:t>2. Польза и адаптация продукта (задание № 2)</w:t>
      </w:r>
    </w:p>
    <w:p>
      <w:pPr>
        <w:pStyle w:val="Heading2"/>
      </w:pPr>
      <w:r>
        <w:t>Здоровье и условия в помещении</w:t>
      </w:r>
    </w:p>
    <w:p>
      <w:pPr>
        <w:jc w:val="left"/>
      </w:pPr>
      <w:r>
        <w:rPr>
          <w:b w:val="0"/>
        </w:rPr>
        <w:t>Пользователь видит рост CO₂ и выбирает время для проветривания. Umweltbundesamt рекомендует улучшать воздухообмен при превышении 1 000 ppm [14]. В демонстрации команда покажет, как меняются показания в занятой комнате и после проветривания.</w:t>
      </w:r>
    </w:p>
    <w:p>
      <w:pPr>
        <w:pStyle w:val="Heading2"/>
      </w:pPr>
      <w:r>
        <w:t>Энергоэффективность</w:t>
      </w:r>
    </w:p>
    <w:p>
      <w:pPr>
        <w:jc w:val="left"/>
      </w:pPr>
      <w:r>
        <w:rPr>
          <w:b w:val="0"/>
        </w:rPr>
        <w:t>В Home Assistant владелец может управлять совместимой вентиляцией по показаниям CO₂. Umweltbundesamt рекомендует правильное проветривание как часть экономного отопления [15]. В пилоте команда сравнит расход энергии при сходной погоде, занятости комнаты и качестве воздуха.</w:t>
      </w:r>
    </w:p>
    <w:p>
      <w:pPr>
        <w:pStyle w:val="Heading2"/>
      </w:pPr>
      <w:r>
        <w:t>Экология и срок службы</w:t>
      </w:r>
    </w:p>
    <w:p>
      <w:pPr>
        <w:jc w:val="left"/>
      </w:pPr>
      <w:r>
        <w:rPr>
          <w:b w:val="0"/>
        </w:rPr>
        <w:t>Открытые схема и корпус позволяют владельцу разобраться в устройстве и заменить детали. Для ремонта команда подготовит инструкцию и список совместимых компонентов. Основные функции сохранятся после закрытия сервиса производителя. Более долгий срок использования электроники помогает беречь ресурсы [16].</w:t>
      </w:r>
    </w:p>
    <w:p>
      <w:pPr>
        <w:pStyle w:val="Heading2"/>
      </w:pPr>
      <w:r>
        <w:t>Подготовка к продаже</w:t>
      </w:r>
    </w:p>
    <w:p>
      <w:pPr>
        <w:jc w:val="left"/>
      </w:pPr>
      <w:r>
        <w:rPr>
          <w:b w:val="0"/>
        </w:rPr>
        <w:t>Команда переведёт инструкцию и страницы настройки на немецкий язык. Проверит 24-часовой формат и часовой пояс Германии с переходом на летнее время. На экране оставит °C, %, hPa и ppm.</w:t>
      </w:r>
    </w:p>
    <w:p>
      <w:pPr>
        <w:jc w:val="left"/>
      </w:pPr>
      <w:r>
        <w:rPr>
          <w:b w:val="0"/>
        </w:rPr>
        <w:t>Партнёр проведёт демонстрации и ответит на вопросы покупателей на немецком. Он организует доставку, возвраты и первую линию поддержки. Команда займётся прошивкой и сложными обращениями. Инструкции разместит на сайте для скачивания.</w:t>
      </w:r>
    </w:p>
    <w:p>
      <w:pPr>
        <w:pStyle w:val="Heading2"/>
      </w:pPr>
      <w:r>
        <w:t>Цена</w:t>
      </w:r>
    </w:p>
    <w:p>
      <w:pPr>
        <w:jc w:val="left"/>
      </w:pPr>
      <w:r>
        <w:rPr>
          <w:b w:val="0"/>
        </w:rPr>
        <w:t>Для интервью команда предложит цену 129 € с НДС, без подписки. При ставке НДС 19% продавец получит 108,40 € до оплаты расходов [5]. Из этой суммы нужно оплатить производство, доставку, долю партнёра, возвраты и поддержку. Руководитель уточнит цену после расчёта затрат и интервью.</w:t>
      </w:r>
    </w:p>
    <w:p>
      <w:r>
        <w:br w:type="page"/>
      </w:r>
    </w:p>
    <w:p>
      <w:pPr>
        <w:pStyle w:val="Heading1"/>
      </w:pPr>
      <w:r>
        <w:t>3. План выхода и риски (задание № 3)</w:t>
      </w:r>
    </w:p>
    <w:p>
      <w:pPr>
        <w:jc w:val="left"/>
      </w:pPr>
      <w:r>
        <w:rPr>
          <w:b w:val="0"/>
        </w:rPr>
        <w:t>Команда заключит договор с немецким продавцом или интегратором. Она отвечает за устройство и прошивку, партнёр за продажи, доставку и обслуживание на месте. В договоре стороны закрепят обязанности импортёра. План запуска рассчитан на шесть месяцев.</w:t>
      </w:r>
    </w:p>
    <w:p>
      <w:pPr>
        <w:pStyle w:val="Heading2"/>
      </w:pPr>
      <w:r>
        <w:t>Этапы запуска</w:t>
      </w:r>
    </w:p>
    <w:p>
      <w:pPr>
        <w:jc w:val="left"/>
      </w:pPr>
      <w:r>
        <w:rPr>
          <w:b w:val="0"/>
        </w:rPr>
        <w:t>1. Месяц 1: проверка поставок. Руководитель вместе с партнёром определит таможенный код и происхождение товара. Проверит ограничения на поставку, расчёты и перевозку, получит заключение по сделке. Наличие партнёра в Германии не отменяет санкционных запретов [6].</w:t>
      </w:r>
    </w:p>
    <w:p>
      <w:pPr>
        <w:jc w:val="left"/>
      </w:pPr>
      <w:r>
        <w:rPr>
          <w:b w:val="0"/>
        </w:rPr>
        <w:t>2. Месяцы 1–2: проверка спроса. Команда проведёт 15 интервью, обсудит цену 129 € и соберёт не менее 10 заявок на пилот без оплаты. Для переговоров подготовит описание ремонта, локальной работы и плана проверки энергосбережения [17].</w:t>
      </w:r>
    </w:p>
    <w:p>
      <w:pPr>
        <w:jc w:val="left"/>
      </w:pPr>
      <w:r>
        <w:rPr>
          <w:b w:val="0"/>
        </w:rPr>
        <w:t>3. Месяцы 2–4: подготовка партии. Разработчик проверит локальные функции, команда переведёт документацию и исправит крепления корпуса. Сверит CO₂ с эталонным прибором и измерит потребление. До выдачи устройств завершит необходимые испытания и регистрации.</w:t>
      </w:r>
    </w:p>
    <w:p>
      <w:pPr>
        <w:jc w:val="left"/>
      </w:pPr>
      <w:r>
        <w:rPr>
          <w:b w:val="0"/>
        </w:rPr>
        <w:t>4. Месяцы 4–5: пилот. Партнёр передаст 30 приборов после допуска к продаже. Команда планирует получить не менее 27 подключений по инструкции без помощи разработчика. Проведёт 72-часовой тест без интернета и соберёт отзывы. Расход энергии сравнит при сходных условиях и качестве воздуха.</w:t>
      </w:r>
    </w:p>
    <w:p>
      <w:pPr>
        <w:jc w:val="left"/>
      </w:pPr>
      <w:r>
        <w:rPr>
          <w:b w:val="0"/>
        </w:rPr>
        <w:t>5. С месяца 6: расширение продаж. Руководитель изучит возвраты и прибыль с устройства. При положительном результате увеличит партию. Партнёр продолжит демонстрации, работу с сообществами умного дома и техническими обзорами.</w:t>
      </w:r>
    </w:p>
    <w:p>
      <w:pPr>
        <w:pStyle w:val="Heading2"/>
      </w:pPr>
      <w:r>
        <w:t>Правовые условия и риски</w:t>
      </w:r>
    </w:p>
    <w:p>
      <w:pPr>
        <w:jc w:val="left"/>
      </w:pPr>
      <w:r>
        <w:rPr>
          <w:b w:val="0"/>
        </w:rPr>
        <w:t>До продаж команда проверит соответствие требованиям RED и RoHS, подготовит документы и маркировку CE [7, 8]. С партнёром распределит обязанности по электроотходам и упаковке: WEEE/ElektroG и LUCID. Иностранному производителю без присутствия в Германии для WEEE-регистрации нужен местный уполномоченный [9, 10].</w:t>
      </w:r>
    </w:p>
    <w:p>
      <w:pPr>
        <w:jc w:val="left"/>
      </w:pPr>
      <w:r>
        <w:rPr>
          <w:b w:val="0"/>
        </w:rPr>
        <w:t>При подготовке прошивки команда учтёт требования RED и CRA к кибербезопасности. Отчётность CRA действует с 11.09.2026, основные обязанности с 11.12.2027 [7, 11]. Продавец организует 14-дневный отказ при дистанционной продаже и исполнение минимум двухлетней законной ответственности за недостатки. Данные заказов и обращений он обработает по GDPR [12, 13].</w:t>
      </w:r>
    </w:p>
    <w:p>
      <w:pPr>
        <w:jc w:val="left"/>
      </w:pPr>
      <w:r>
        <w:rPr>
          <w:b w:val="0"/>
        </w:rPr>
        <w:t>Руководитель проверит допустимость поставки до заказа партии. Лабораторные испытания и сравнение с эталонным прибором помогут выявить ошибки показаний. Полная смета покажет, покрывает ли цена затраты. При запрете поставок команда отложит запуск.</w:t>
      </w:r>
    </w:p>
    <w:p>
      <w:r>
        <w:br w:type="page"/>
      </w:r>
    </w:p>
    <w:p>
      <w:pPr>
        <w:pStyle w:val="Heading1"/>
      </w:pPr>
      <w:r>
        <w:t>4. Выводы</w:t>
      </w:r>
    </w:p>
    <w:p>
      <w:pPr>
        <w:jc w:val="left"/>
      </w:pPr>
      <w:r>
        <w:rPr>
          <w:b w:val="0"/>
        </w:rPr>
        <w:t>Для первого выхода команда выбрала Германию и работу через местного партнёра. Пилот из 30 устройств позволит проверить настройку, поддержку и цену 129 €. В переговорах команда покажет локальную работу, проветривание по CO₂ и возможность ремонта.</w:t>
      </w:r>
    </w:p>
    <w:p>
      <w:pPr>
        <w:jc w:val="left"/>
      </w:pPr>
      <w:r>
        <w:rPr>
          <w:b w:val="0"/>
        </w:rPr>
        <w:t>Руководитель примет решение о следующей партии после испытаний, интервью и расчёта прибыли с прибора. Проверку энергосбережения команда проведёт в пилоте.</w:t>
      </w:r>
    </w:p>
    <w:p>
      <w:pPr>
        <w:pStyle w:val="Heading1"/>
      </w:pPr>
      <w:r>
        <w:t>5. Источники</w:t>
      </w:r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[1] </w:t>
      </w:r>
      <w:hyperlink r:id="rId10">
        <w:r>
          <w:rPr>
            <w:color w:val="000000"/>
            <w:u w:val="single"/>
            <w:sz w:val="21"/>
          </w:rPr>
          <w:t>Проект eink-environment-clock. Схема, прошивка, корпус и лицензия MIT.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[2] </w:t>
      </w:r>
      <w:hyperlink r:id="rId11">
        <w:r>
          <w:rPr>
            <w:color w:val="000000"/>
            <w:u w:val="single"/>
            <w:sz w:val="21"/>
          </w:rPr>
          <w:t>Bitkom. Smart Home: Vom WLAN-Thermostat zum menschenähnlichen Roboter. 24.08.2026. Опрос, методика и показатели рынка.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[3] </w:t>
      </w:r>
      <w:hyperlink r:id="rId12">
        <w:r>
          <w:rPr>
            <w:color w:val="000000"/>
            <w:u w:val="single"/>
            <w:sz w:val="21"/>
          </w:rPr>
          <w:t>Aranet. Aranet4 HOME: FAQ. Автономная работа и Bluetooth.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[4] </w:t>
      </w:r>
      <w:hyperlink r:id="rId13">
        <w:r>
          <w:rPr>
            <w:color w:val="000000"/>
            <w:u w:val="single"/>
            <w:sz w:val="21"/>
          </w:rPr>
          <w:t>AirGradient. Indoor Air Quality Monitor / ONE. Открытость и локальная интеграция Home Assistant.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[5] </w:t>
      </w:r>
      <w:hyperlink r:id="rId14">
        <w:r>
          <w:rPr>
            <w:color w:val="000000"/>
            <w:u w:val="single"/>
            <w:sz w:val="21"/>
          </w:rPr>
          <w:t>BMF. Umsatzsteuer, § 12: Steuersätze. Стандартная ставка 19%.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[6] </w:t>
      </w:r>
      <w:hyperlink r:id="rId15">
        <w:r>
          <w:rPr>
            <w:color w:val="000000"/>
            <w:u w:val="single"/>
            <w:sz w:val="21"/>
          </w:rPr>
          <w:t>Совет ЕС. EU sanctions against Russia: questions and answers. Ограничения торговли, расчётов и противодействие обходу.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[7] </w:t>
      </w:r>
      <w:hyperlink r:id="rId16">
        <w:r>
          <w:rPr>
            <w:color w:val="000000"/>
            <w:u w:val="single"/>
            <w:sz w:val="21"/>
          </w:rPr>
          <w:t>Еврокомиссия. Radio Equipment Directive (RED). Безопасность, радиочастоты, CE и кибербезопасность.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[8] </w:t>
      </w:r>
      <w:hyperlink r:id="rId17">
        <w:r>
          <w:rPr>
            <w:color w:val="000000"/>
            <w:u w:val="single"/>
            <w:sz w:val="21"/>
          </w:rPr>
          <w:t>Еврокомиссия. RoHS Directive. Ограничения опасных веществ в электронике.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[9] </w:t>
      </w:r>
      <w:hyperlink r:id="rId18">
        <w:r>
          <w:rPr>
            <w:color w:val="000000"/>
            <w:u w:val="single"/>
            <w:sz w:val="21"/>
          </w:rPr>
          <w:t>Stiftung ear. WEEE-Registrierung als ausländisches Unternehmen. Регистрация и уполномоченный представитель.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[10] </w:t>
      </w:r>
      <w:hyperlink r:id="rId19">
        <w:r>
          <w:rPr>
            <w:color w:val="000000"/>
            <w:u w:val="single"/>
            <w:sz w:val="21"/>
          </w:rPr>
          <w:t>ZSVR. The Verpackungsgesetz and online retailers. Упаковка, LUCID и обязанности участников поставки.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[11] </w:t>
      </w:r>
      <w:hyperlink r:id="rId20">
        <w:r>
          <w:rPr>
            <w:color w:val="000000"/>
            <w:u w:val="single"/>
            <w:sz w:val="21"/>
          </w:rPr>
          <w:t>Еврокомиссия. Cyber Resilience Act. Обязанности производителя и сроки применения.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[12] </w:t>
      </w:r>
      <w:hyperlink r:id="rId21">
        <w:r>
          <w:rPr>
            <w:color w:val="000000"/>
            <w:u w:val="single"/>
            <w:sz w:val="21"/>
          </w:rPr>
          <w:t>Your Europe. Consumer guarantees, warranties, claims and returns. Правила дистанционной продажи и ответственность за недостатки.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[13] </w:t>
      </w:r>
      <w:hyperlink r:id="rId22">
        <w:r>
          <w:rPr>
            <w:color w:val="000000"/>
            <w:u w:val="single"/>
            <w:sz w:val="21"/>
          </w:rPr>
          <w:t>Еврокомиссия. Application of the GDPR. Применимость к обработке персональных данных.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[14] </w:t>
      </w:r>
      <w:hyperlink r:id="rId23">
        <w:r>
          <w:rPr>
            <w:color w:val="000000"/>
            <w:u w:val="single"/>
            <w:sz w:val="21"/>
          </w:rPr>
          <w:t>Umweltbundesamt. Richtig Lüften in Schulen. CO₂ как показатель вентиляции, рекомендации по проветриванию.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[15] </w:t>
      </w:r>
      <w:hyperlink r:id="rId24">
        <w:r>
          <w:rPr>
            <w:color w:val="000000"/>
            <w:u w:val="single"/>
            <w:sz w:val="21"/>
          </w:rPr>
          <w:t>Umweltbundesamt. Richtiges Heizen schützt das Klima und den Geldbeutel. Отопление, проветривание и энергосбережение.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[16] </w:t>
      </w:r>
      <w:hyperlink r:id="rId25">
        <w:r>
          <w:rPr>
            <w:color w:val="000000"/>
            <w:u w:val="single"/>
            <w:sz w:val="21"/>
          </w:rPr>
          <w:t>Umweltbundesamt. Verlängerung der Produktnutzungsdauer. 2020. Срок службы электроники и сохранение ресурсов.</w:t>
        </w:r>
      </w:hyperlink>
    </w:p>
    <w:p>
      <w:pPr>
        <w:spacing w:line="240" w:lineRule="auto"/>
        <w:jc w:val="left"/>
      </w:pPr>
      <w:r>
        <w:rPr>
          <w:b w:val="0"/>
        </w:rPr>
      </w:r>
      <w:r>
        <w:rPr>
          <w:sz w:val="21"/>
        </w:rPr>
        <w:t xml:space="preserve">[17] </w:t>
      </w:r>
      <w:hyperlink r:id="rId26">
        <w:r>
          <w:rPr>
            <w:color w:val="000000"/>
            <w:u w:val="single"/>
            <w:sz w:val="21"/>
          </w:rPr>
          <w:t>NBS. Немецкий рынок: где вход? 15.06.2019. Подготовка аргументов для переговоров.</w:t>
        </w:r>
      </w:hyperlink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KTKLN/eink-environment-clock" TargetMode="External"/><Relationship Id="rId11" Type="http://schemas.openxmlformats.org/officeDocument/2006/relationships/hyperlink" Target="https://www.bitkom.org/Presse/Presseinformation/Smart-Home-vom-Thermostat-zum-Roboter" TargetMode="External"/><Relationship Id="rId12" Type="http://schemas.openxmlformats.org/officeDocument/2006/relationships/hyperlink" Target="https://help.aranet.com/aranet4/aranet4-home/faq" TargetMode="External"/><Relationship Id="rId13" Type="http://schemas.openxmlformats.org/officeDocument/2006/relationships/hyperlink" Target="https://www.airgradient.com/indoor/" TargetMode="External"/><Relationship Id="rId14" Type="http://schemas.openxmlformats.org/officeDocument/2006/relationships/hyperlink" Target="https://usth.bundesfinanzministerium.de/usth/2024/A-Umsatzsteuergesetz/IV-Steuer-und-Vorsteuer/Paragraf-12/inhalt.html" TargetMode="External"/><Relationship Id="rId15" Type="http://schemas.openxmlformats.org/officeDocument/2006/relationships/hyperlink" Target="https://www.consilium.europa.eu/en/policies/sanctions-against-russia-explained/" TargetMode="External"/><Relationship Id="rId16" Type="http://schemas.openxmlformats.org/officeDocument/2006/relationships/hyperlink" Target="https://single-market-economy.ec.europa.eu/sectors/electrical-and-electronic-engineering-industries-eei/radio-equipment-directive-red_en" TargetMode="External"/><Relationship Id="rId17" Type="http://schemas.openxmlformats.org/officeDocument/2006/relationships/hyperlink" Target="https://environment.ec.europa.eu/topics/waste-and-recycling/rohs-directive_en" TargetMode="External"/><Relationship Id="rId18" Type="http://schemas.openxmlformats.org/officeDocument/2006/relationships/hyperlink" Target="https://www.stiftung-ear.de/anleitungen/weee-nummer-beantragen-als-auslaendisches-unternehmen/" TargetMode="External"/><Relationship Id="rId19" Type="http://schemas.openxmlformats.org/officeDocument/2006/relationships/hyperlink" Target="https://www.verpackungsregister.org/en/knowledge-bases/mail-order-companies-and-online-retailers" TargetMode="External"/><Relationship Id="rId20" Type="http://schemas.openxmlformats.org/officeDocument/2006/relationships/hyperlink" Target="https://digital-strategy.ec.europa.eu/en/policies/cyber-resilience-act" TargetMode="External"/><Relationship Id="rId21" Type="http://schemas.openxmlformats.org/officeDocument/2006/relationships/hyperlink" Target="https://europa.eu/youreurope/business/selling-in-eu/consumer-contracts-guarantees/consumer-guarantees/index_en.htm" TargetMode="External"/><Relationship Id="rId22" Type="http://schemas.openxmlformats.org/officeDocument/2006/relationships/hyperlink" Target="https://commission.europa.eu/law/law-topic/data-protection/information-business-and-organisations/application-gdpr_en" TargetMode="External"/><Relationship Id="rId23" Type="http://schemas.openxmlformats.org/officeDocument/2006/relationships/hyperlink" Target="https://www.umweltbundesamt.de/richtig-lueften-in-schulen" TargetMode="External"/><Relationship Id="rId24" Type="http://schemas.openxmlformats.org/officeDocument/2006/relationships/hyperlink" Target="https://www.umweltbundesamt.de/umwelttipps-fuer-den-alltag/richtiges-heizen-schuetzt-das-klima-den-geldbeutel" TargetMode="External"/><Relationship Id="rId25" Type="http://schemas.openxmlformats.org/officeDocument/2006/relationships/hyperlink" Target="https://www.umweltbundesamt.de/publikationen/verlaengerung-der-produktnutzungsdauer" TargetMode="External"/><Relationship Id="rId26" Type="http://schemas.openxmlformats.org/officeDocument/2006/relationships/hyperlink" Target="https://nbs-research.com/business/marketing/&#1085;&#1077;&#1084;&#1077;&#1094;&#1082;&#1080;&#1081;-&#1088;&#1099;&#1085;&#1086;&#1082;-&#1075;&#1076;&#1077;-&#1074;&#1093;&#1086;&#107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№14</dc:title>
  <dc:subject>Планирование и осуществление международного расширения стартапа, изучение международных рынков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