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59C" w:rsidRPr="00CA759C" w:rsidRDefault="00CA759C" w:rsidP="00CA75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A75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Compatibility of Classical Physics, Relativity, and Quantum Mechanics with the </w:t>
      </w:r>
      <w:proofErr w:type="spellStart"/>
      <w:r w:rsidRPr="00CA759C">
        <w:rPr>
          <w:rFonts w:ascii="Times New Roman" w:eastAsia="Times New Roman" w:hAnsi="Times New Roman" w:cs="Times New Roman"/>
          <w:b/>
          <w:bCs/>
          <w:sz w:val="28"/>
          <w:szCs w:val="28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Law</w: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A759C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publication presents a consistent systematization of the compatibility between the pillars of mod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ern physics and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Law on 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varying inertia. 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is shown to be non-contradictory to classical theories, while allowing their dynamical structures to be abstracted into a unified state relationship among position, velocity, and mass.</w:t>
      </w:r>
    </w:p>
    <w:p w:rsidR="00CA759C" w:rsidRPr="00CA759C" w:rsidRDefault="00CA759C" w:rsidP="00CA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Scope Statement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This publication focuses on establishing the conceptual consistency and compatibility of 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with existing physical theories. The content is not intended to replace, refute, or claim full proof of any established theories.</w:t>
      </w:r>
    </w:p>
    <w:p w:rsidR="00CA759C" w:rsidRPr="00CA759C" w:rsidRDefault="00CA759C" w:rsidP="00CA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Basis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describes the tendency of motion of a physical object through the relationship among</w:t>
      </w:r>
      <w:proofErr w:type="gramStart"/>
      <w:r w:rsidRPr="00CA759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• Position (x)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• Velocity (v)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• Mass (m)</w: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t>General formulation</w:t>
      </w:r>
      <w:proofErr w:type="gramStart"/>
      <w:r w:rsidRPr="00CA759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A75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= f(x, v, m)</w: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The system is characterized by two core product quantities (unit: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NKTm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):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₁ = x • </w:t>
      </w:r>
      <w:proofErr w:type="gramStart"/>
      <w:r w:rsidRPr="00CA759C">
        <w:rPr>
          <w:rFonts w:ascii="Times New Roman" w:eastAsia="Times New Roman" w:hAnsi="Times New Roman" w:cs="Times New Roman"/>
          <w:sz w:val="24"/>
          <w:szCs w:val="24"/>
        </w:rPr>
        <w:t>p :</w:t>
      </w:r>
      <w:proofErr w:type="gram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positional inertia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₂ = (dm/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) • p : varying inertia</w:t>
      </w:r>
    </w:p>
    <w:p w:rsidR="00CA759C" w:rsidRPr="00CA759C" w:rsidRDefault="00CA759C" w:rsidP="00CA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1. With Isaac Newton – Classical Mechanics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A759C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the mass of the system does not vary with time, 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reduces to a static inertial state.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• Condition: dm/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• Consequence: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₂ = 0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• Remaining expression: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₁ = x • p</w: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t>In the context of classical mechanics and Newtonian gravitation, the quantity x • p preserves the structure of the momentum state, reflecting orbital stability and periodic motion.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In the limit of systems with large mass and velocities much smaller than the speed of light, 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is structurally compatible, both in form and physical consequences, with all fundamental laws of classical mechanics.</w:t>
      </w:r>
    </w:p>
    <w:p w:rsidR="00CA759C" w:rsidRPr="00CA759C" w:rsidRDefault="00CA759C" w:rsidP="00CA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2. With Albert Einstein – Relativity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In high-energy systems where mass and energy can be converted into one another, 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extends into a regime of varying inertia.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• As velocity approaches the speed of light, energy and mass are related by E = mc²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• In this case: dm/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≠ 0 </w:t>
      </w:r>
      <w:r w:rsidRPr="00CA759C">
        <w:rPr>
          <w:rFonts w:ascii="Cambria Math" w:eastAsia="Times New Roman" w:hAnsi="Cambria Math" w:cs="Cambria Math"/>
          <w:sz w:val="24"/>
          <w:szCs w:val="24"/>
        </w:rPr>
        <w:t>⇒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₂ emerges and plays a dominant role</w: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describes the dynamical tendency of the system through changes in mass–energy states, without contradicting the fundamental relations of relativity.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In extreme configurations such as strong gravitational fields, the relative imbalance between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₁ (associated with spatial structure) and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₂ (associated with energy state) consistently reflects the phenomenology of relativistic objects, including systems with event horizons.</w:t>
      </w:r>
    </w:p>
    <w:p w:rsidR="00CA759C" w:rsidRPr="00CA759C" w:rsidRDefault="00CA759C" w:rsidP="00CA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3. With Werner Heisenberg – Quantum Mechanics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At the microscopic scale, when considering particles with very small mass or mass approaching zero, the varying inertia component vanishes.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• Condition: m → 0 </w:t>
      </w:r>
      <w:r w:rsidRPr="00CA759C">
        <w:rPr>
          <w:rFonts w:ascii="Cambria Math" w:eastAsia="Times New Roman" w:hAnsi="Cambria Math" w:cs="Cambria Math"/>
          <w:sz w:val="24"/>
          <w:szCs w:val="24"/>
        </w:rPr>
        <w:t>⇒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dm/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= 0 </w:t>
      </w:r>
      <w:r w:rsidRPr="00CA759C">
        <w:rPr>
          <w:rFonts w:ascii="Cambria Math" w:eastAsia="Times New Roman" w:hAnsi="Cambria Math" w:cs="Cambria Math"/>
          <w:sz w:val="24"/>
          <w:szCs w:val="24"/>
        </w:rPr>
        <w:t>⇒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₂ = 0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• Then: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>₁ = x • p</w: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t>In the quantum context, x and p are no longer interpreted as definite values, but correspond to uncertainties in position and momentum.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>The expression x • p is structurally compatible with the Heisenberg uncertainty inequality (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Δx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proofErr w:type="gramStart"/>
      <w:r w:rsidRPr="00CA759C">
        <w:rPr>
          <w:rFonts w:ascii="Times New Roman" w:eastAsia="Times New Roman" w:hAnsi="Times New Roman" w:cs="Times New Roman"/>
          <w:sz w:val="24"/>
          <w:szCs w:val="24"/>
        </w:rPr>
        <w:t>Δp</w:t>
      </w:r>
      <w:proofErr w:type="spellEnd"/>
      <w:proofErr w:type="gramEnd"/>
      <w:r w:rsidRPr="00CA759C">
        <w:rPr>
          <w:rFonts w:ascii="Times New Roman" w:eastAsia="Times New Roman" w:hAnsi="Times New Roman" w:cs="Times New Roman"/>
          <w:sz w:val="24"/>
          <w:szCs w:val="24"/>
        </w:rPr>
        <w:t>) and does not violate the foundational mathematical form of quantum mechanics.</w:t>
      </w:r>
    </w:p>
    <w:p w:rsidR="00CA759C" w:rsidRPr="00CA759C" w:rsidRDefault="00CA759C" w:rsidP="00CA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759C" w:rsidRPr="00CA759C" w:rsidRDefault="00CA759C" w:rsidP="00CA7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 Synthesis of Physical Regimes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4"/>
        <w:gridCol w:w="2443"/>
        <w:gridCol w:w="2458"/>
        <w:gridCol w:w="2805"/>
      </w:tblGrid>
      <w:tr w:rsidR="00CA759C" w:rsidRPr="00CA759C" w:rsidTr="00CA7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Frame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Representative Principle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 Condition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Dominant </w:t>
            </w:r>
            <w:proofErr w:type="spellStart"/>
            <w:r w:rsidRPr="00CA7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NKTg</w:t>
            </w:r>
            <w:proofErr w:type="spellEnd"/>
            <w:r w:rsidRPr="00CA7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Component</w:t>
            </w:r>
          </w:p>
        </w:tc>
      </w:tr>
      <w:tr w:rsidR="00CA759C" w:rsidRPr="00CA759C" w:rsidTr="00CA7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Newton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 mechanics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dm/</w:t>
            </w:r>
            <w:proofErr w:type="spellStart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dt</w:t>
            </w:r>
            <w:proofErr w:type="spellEnd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NKTg</w:t>
            </w:r>
            <w:proofErr w:type="spellEnd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₁ = x • p</w:t>
            </w:r>
          </w:p>
        </w:tc>
      </w:tr>
      <w:tr w:rsidR="00CA759C" w:rsidRPr="00CA759C" w:rsidTr="00CA7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Einstein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Relativity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Energy-dominated regime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NKTg</w:t>
            </w:r>
            <w:proofErr w:type="spellEnd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₂ ≠ 0</w:t>
            </w:r>
          </w:p>
        </w:tc>
      </w:tr>
      <w:tr w:rsidR="00CA759C" w:rsidRPr="00CA759C" w:rsidTr="00CA7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Heisenberg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Uncertainty principle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m → 0</w:t>
            </w:r>
          </w:p>
        </w:tc>
        <w:tc>
          <w:tcPr>
            <w:tcW w:w="0" w:type="auto"/>
            <w:vAlign w:val="center"/>
            <w:hideMark/>
          </w:tcPr>
          <w:p w:rsidR="00CA759C" w:rsidRPr="00CA759C" w:rsidRDefault="00CA759C" w:rsidP="00CA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NKTg</w:t>
            </w:r>
            <w:proofErr w:type="spellEnd"/>
            <w:r w:rsidRPr="00CA759C">
              <w:rPr>
                <w:rFonts w:ascii="Times New Roman" w:eastAsia="Times New Roman" w:hAnsi="Times New Roman" w:cs="Times New Roman"/>
                <w:sz w:val="24"/>
                <w:szCs w:val="24"/>
              </w:rPr>
              <w:t>₁ (x, p)</w:t>
            </w:r>
          </w:p>
        </w:tc>
      </w:tr>
    </w:tbl>
    <w:p w:rsidR="00CA759C" w:rsidRPr="00CA759C" w:rsidRDefault="00CA759C" w:rsidP="00CA7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59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4B63" w:rsidRDefault="00CA759C" w:rsidP="00CA759C">
      <w:pPr>
        <w:spacing w:before="100" w:beforeAutospacing="1" w:after="100" w:afterAutospacing="1" w:line="240" w:lineRule="auto"/>
      </w:pPr>
      <w:r w:rsidRPr="00CA759C">
        <w:rPr>
          <w:rFonts w:ascii="Times New Roman" w:eastAsia="Times New Roman" w:hAnsi="Times New Roman" w:cs="Times New Roman"/>
          <w:b/>
          <w:bCs/>
          <w:sz w:val="24"/>
          <w:szCs w:val="24"/>
        </w:rPr>
        <w:t>General Significance</w:t>
      </w:r>
      <w:r w:rsidRPr="00CA759C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CA759C">
        <w:rPr>
          <w:rFonts w:ascii="Times New Roman" w:eastAsia="Times New Roman" w:hAnsi="Times New Roman" w:cs="Times New Roman"/>
          <w:sz w:val="24"/>
          <w:szCs w:val="24"/>
        </w:rPr>
        <w:t>NKTg</w:t>
      </w:r>
      <w:proofErr w:type="spellEnd"/>
      <w:r w:rsidRPr="00CA759C">
        <w:rPr>
          <w:rFonts w:ascii="Times New Roman" w:eastAsia="Times New Roman" w:hAnsi="Times New Roman" w:cs="Times New Roman"/>
          <w:sz w:val="24"/>
          <w:szCs w:val="24"/>
        </w:rPr>
        <w:t xml:space="preserve"> Law enables the stages of physical development to be described as different state limits of a single general dynamical relationship among position, velocity, and mass. This approach opens a unified and continuous perspective from the microscopic to the macroscopic scale, without breaking the foundational structure of existing physical theories.</w:t>
      </w:r>
    </w:p>
    <w:sectPr w:rsidR="009B4B63" w:rsidSect="009B4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759C"/>
    <w:rsid w:val="009B4B63"/>
    <w:rsid w:val="00CA7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759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3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Tung</dc:creator>
  <cp:lastModifiedBy>Tung</cp:lastModifiedBy>
  <cp:revision>1</cp:revision>
  <dcterms:created xsi:type="dcterms:W3CDTF">2026-01-28T17:44:00Z</dcterms:created>
  <dcterms:modified xsi:type="dcterms:W3CDTF">2026-01-28T17:47:00Z</dcterms:modified>
</cp:coreProperties>
</file>