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CF" w:rsidRPr="00264BC5" w:rsidRDefault="00702A48" w:rsidP="00264BC5">
      <w:pPr>
        <w:tabs>
          <w:tab w:val="left" w:pos="1260"/>
        </w:tabs>
        <w:ind w:leftChars="200" w:left="420"/>
        <w:rPr>
          <w:rFonts w:ascii="Adobe 仿宋 Std R" w:eastAsia="Adobe 仿宋 Std R" w:hAnsi="Adobe 仿宋 Std R"/>
          <w:color w:val="FF0000"/>
          <w:sz w:val="32"/>
          <w:szCs w:val="32"/>
        </w:rPr>
      </w:pPr>
      <w:r w:rsidRPr="00702A48">
        <w:rPr>
          <w:rFonts w:ascii="Adobe 仿宋 Std R" w:eastAsia="Adobe 仿宋 Std R" w:hAnsi="Adobe 仿宋 Std R"/>
          <w:color w:val="000000" w:themeColor="text1"/>
          <w:sz w:val="32"/>
          <w:szCs w:val="32"/>
        </w:rPr>
        <w:tab/>
      </w:r>
      <w:proofErr w:type="gramStart"/>
      <w:r w:rsidRPr="00264BC5">
        <w:rPr>
          <w:rFonts w:ascii="Adobe 仿宋 Std R" w:eastAsia="Adobe 仿宋 Std R" w:hAnsi="Adobe 仿宋 Std R" w:hint="eastAsia"/>
          <w:color w:val="FF0000"/>
          <w:sz w:val="32"/>
          <w:szCs w:val="32"/>
        </w:rPr>
        <w:t>一</w:t>
      </w:r>
      <w:proofErr w:type="gramEnd"/>
      <w:r w:rsidRPr="00264BC5">
        <w:rPr>
          <w:rFonts w:ascii="Adobe 仿宋 Std R" w:eastAsia="Adobe 仿宋 Std R" w:hAnsi="Adobe 仿宋 Std R" w:hint="eastAsia"/>
          <w:color w:val="FF0000"/>
          <w:sz w:val="32"/>
          <w:szCs w:val="32"/>
        </w:rPr>
        <w:t>：简介</w:t>
      </w:r>
    </w:p>
    <w:p w:rsidR="00702A48" w:rsidRPr="00702A48" w:rsidRDefault="00702A48" w:rsidP="00264BC5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hint="eastAsia"/>
          <w:color w:val="000000" w:themeColor="text1"/>
          <w:sz w:val="32"/>
          <w:szCs w:val="32"/>
        </w:rPr>
        <w:t>荔波县：</w:t>
      </w:r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荔波县，隶属黔南布依族苗族自治州，位于</w:t>
      </w:r>
      <w:hyperlink r:id="rId4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贵州省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南部。东北与</w:t>
      </w:r>
      <w:hyperlink r:id="rId5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黔东南苗族侗族自治州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的</w:t>
      </w:r>
      <w:hyperlink r:id="rId6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从江县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、</w:t>
      </w:r>
      <w:hyperlink r:id="rId7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榕江县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接壤，东南与广西壮族自治区的</w:t>
      </w:r>
      <w:hyperlink r:id="rId8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环江县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、</w:t>
      </w:r>
      <w:hyperlink r:id="rId9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南丹县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毗邻，西与</w:t>
      </w:r>
      <w:hyperlink r:id="rId10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独山县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相连，北与</w:t>
      </w:r>
      <w:hyperlink r:id="rId11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三都水族自治县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交界。面积2431.8平方千米，人口18万人（2016年）。</w:t>
      </w:r>
    </w:p>
    <w:p w:rsidR="00702A48" w:rsidRPr="00702A48" w:rsidRDefault="00702A48" w:rsidP="00264BC5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荔波县辖1街道5镇2乡，境内有</w:t>
      </w:r>
      <w:hyperlink r:id="rId12" w:tgtFrame="_blank" w:history="1">
        <w:proofErr w:type="gramStart"/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樟</w:t>
        </w:r>
        <w:proofErr w:type="gramEnd"/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江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国家级风景名胜区和国家级</w:t>
      </w:r>
      <w:hyperlink r:id="rId13" w:tgtFrame="_blank" w:history="1">
        <w:r w:rsidRPr="00702A48">
          <w:rPr>
            <w:rFonts w:ascii="Adobe 仿宋 Std R" w:eastAsia="Adobe 仿宋 Std R" w:hAnsi="Adobe 仿宋 Std R" w:cs="Arial"/>
            <w:color w:val="000000" w:themeColor="text1"/>
            <w:kern w:val="0"/>
            <w:sz w:val="32"/>
            <w:szCs w:val="32"/>
          </w:rPr>
          <w:t>茂兰自然保护区</w:t>
        </w:r>
      </w:hyperlink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， 2015年全县生产总值45.3亿元，比2014年增长13.3%。</w:t>
      </w:r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  <w:vertAlign w:val="superscript"/>
        </w:rPr>
        <w:t>[1]</w:t>
      </w:r>
      <w:bookmarkStart w:id="0" w:name="ref_[1]_852512"/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> </w:t>
      </w:r>
      <w:bookmarkEnd w:id="0"/>
      <w:r w:rsidRPr="00702A48">
        <w:rPr>
          <w:rFonts w:ascii="Adobe 仿宋 Std R" w:eastAsia="Adobe 仿宋 Std R" w:hAnsi="Adobe 仿宋 Std R" w:cs="Arial"/>
          <w:color w:val="000000" w:themeColor="text1"/>
          <w:kern w:val="0"/>
          <w:sz w:val="32"/>
          <w:szCs w:val="32"/>
        </w:rPr>
        <w:t xml:space="preserve"> </w:t>
      </w:r>
    </w:p>
    <w:p w:rsidR="00702A48" w:rsidRPr="00702A48" w:rsidRDefault="00702A48" w:rsidP="00264BC5">
      <w:pPr>
        <w:widowControl/>
        <w:shd w:val="clear" w:color="auto" w:fill="FFFFFF"/>
        <w:spacing w:line="360" w:lineRule="atLeast"/>
        <w:ind w:leftChars="200" w:left="420" w:firstLineChars="300" w:firstLine="960"/>
        <w:jc w:val="left"/>
        <w:rPr>
          <w:rFonts w:ascii="Adobe 仿宋 Std R" w:eastAsia="Adobe 仿宋 Std R" w:hAnsi="Adobe 仿宋 Std R" w:cs="Calibri"/>
          <w:b/>
          <w:bCs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2016年，地区生产总值完成50.47亿元，增长12.5%；固定资产投资完成59.39亿元，增长21.3%；预计2000万规模以上工业增加值完成13.5亿元，增长12%；社会消费品零售总额完成11.26亿元，增长14%；财政总收入完成6.32亿元，增长13.01%；城镇居民人均可支配收入完成25595元，增长10.1％，农村居民人均可支配收入完成8491元，增长10.7％；旅游总收入完成77.93亿元，增长38%；招商引资实际到位资金完成118.6亿元，增长45.34%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主要经济指标均保持两位数增长，增比进位综合测评在全省同类县市获85.66分，连续三年位列第一名。</w:t>
      </w:r>
    </w:p>
    <w:p w:rsidR="00702A48" w:rsidRPr="00702A48" w:rsidRDefault="00702A48" w:rsidP="00264BC5">
      <w:pPr>
        <w:widowControl/>
        <w:shd w:val="clear" w:color="auto" w:fill="FFFFFF"/>
        <w:spacing w:line="360" w:lineRule="atLeast"/>
        <w:ind w:leftChars="200" w:left="420" w:firstLineChars="300" w:firstLine="986"/>
        <w:jc w:val="left"/>
        <w:rPr>
          <w:rFonts w:ascii="Adobe 仿宋 Std R" w:eastAsia="Adobe 仿宋 Std R" w:hAnsi="Adobe 仿宋 Std R" w:cs="Arial" w:hint="eastAsia"/>
          <w:color w:val="FF0000"/>
          <w:kern w:val="0"/>
          <w:sz w:val="32"/>
          <w:szCs w:val="32"/>
        </w:rPr>
      </w:pPr>
      <w:r w:rsidRPr="00264BC5">
        <w:rPr>
          <w:rFonts w:ascii="Adobe 仿宋 Std R" w:eastAsia="Adobe 仿宋 Std R" w:hAnsi="Adobe 仿宋 Std R" w:cs="Calibri" w:hint="eastAsia"/>
          <w:b/>
          <w:bCs/>
          <w:color w:val="FF0000"/>
          <w:kern w:val="0"/>
          <w:sz w:val="32"/>
          <w:szCs w:val="32"/>
        </w:rPr>
        <w:t>二：脱贫攻略</w:t>
      </w:r>
      <w:bookmarkStart w:id="1" w:name="_GoBack"/>
      <w:bookmarkEnd w:id="1"/>
    </w:p>
    <w:p w:rsidR="00702A48" w:rsidRPr="00702A48" w:rsidRDefault="00702A48" w:rsidP="00264BC5">
      <w:pPr>
        <w:widowControl/>
        <w:spacing w:line="560" w:lineRule="atLeast"/>
        <w:ind w:leftChars="200" w:left="4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1，坚定不移抓脱贫，全面小康阔步迈进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2016年是吹响脱贫攻坚冲锋号第一年，该县深入实施易地扶贫搬迁、产业脱贫、生态补偿、教育培训、民生兜底和旅游脱贫“六个一批”工程，脱贫攻坚力度最大、范围最广，实现了首战告捷。一年来，共投入3.08亿元实施1375户5140人易地扶贫搬迁工程，建成佳荣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捞村等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7个安置点。总投资达7057万元的74个扶贫项目全面实施，发放“特惠贷”资金2.11亿元、创业担保贷款8556万元、教育扶贫资助资金1594万元，农村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低保标准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与扶贫标准“两线合一”稳步推进。整合各类资金和项目发展壮大村集体经济，基本消除“空壳村”。2016年共减少贫困人口10174人，15个贫困村出列，贫困发生率下降至15.17%，全面小康实现程度达93.8%。2017年将实现全县整体脱贫，贫困发生率下降至3%以内，达到小康创建要求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2、牢记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嘱托抓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提质，景区升级全面铺开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针对省委书记陈敏尔陪同国务院副总理刘延东在调研荔波时对荔波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作出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“一年内使大小七孔景区有大的变化”新要求，该县全面梳理了总投资达65亿元的17个景区提质升级项目，并举全县之力、超常规推进，确保全部工程在今年7月前全部完工。景区内部提质方面，加快推进“两门、两桥、两线”及相关配套工程，纵深开发野猪林、龟背山、天钟洞等景点，打造大小七孔、西门两个新集散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中心，新建东西两个大门，对拉柳、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内外孟塘进行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整体搬迁；景区周边环境打造方面，围绕大小七孔景区东西两线打造最美风光带，新建西门连接线景观大道，打造3000亩西门花海，对王蒙集镇、新街村整体搬迁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及驾欧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集镇、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联山湾改造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升级，实施公路沿线房屋立面改造和绿化亮化美化工程，完善公路慢行系统及旅游配套设施；邓恩铭故居升级方面，按照国家二级博物馆标准新建邓恩铭纪念馆及纪念广场。目前，各项工作正在积极推进，春节后将开工建设，景区规划正在修改完善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3、持之以恒优环境，基础设施全面突破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2016年是荔波基础设施取得历史性突破的一年，贵南高铁历经7次环评开工建设，荔波人民“高铁梦”正步入现实。三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荔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高速、机场改扩建、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江航运动工建设。编制完成全域旅游交通三年行动计划，省道312荔波至甲良、省道206荔波至三都、国道243朝阳至脚村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坳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全部完工。省道418县城至永康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至翁昂至瑶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山、茂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兰至洞塘、洞塘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至董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歹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塘党至尧棒公路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建成通车。全面动工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荔波至瑶山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果园公路，交通领域完成投资22.1亿元，县域内总里程达767公里的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全部国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省道、县乡道基本完成扩建翻新。道路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标准居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全州前列，长期制约荔波经济社会发展的交通瓶颈有效破解。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尧柳水库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基本完工，大土水库完成大坝主体，拉寨、三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荔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、拉毛水库前期工作有序推进，水利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领域完成投资4.76亿元。41个省州重点项目和31个中央预算内项目分别完成投资50.74亿元、3.31亿元。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在全州第一次项目现场观摩会综合测评中荣获第一名。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jc w:val="left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4、全面实施大数据，智慧荔波初见雏形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jc w:val="left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抢抓大数据战略行动机遇，全面铺开了以智慧旅游为核心的大数据产业发展。组建大数据管理中心，完善大数据战略行动议事机构和制度，建成游客信息服务平台，开工建设智慧谷、智慧旅游集散中心，智慧荔波和智慧旅游完成第一阶段开发部署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与软通动力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合作完成大数据发展规划设计，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spacing w:val="-6"/>
          <w:kern w:val="0"/>
          <w:sz w:val="32"/>
          <w:szCs w:val="32"/>
        </w:rPr>
        <w:t>成功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引进阿里巴巴、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贵农网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、华纳斯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科技等电商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企业入驻荔波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spacing w:val="-6"/>
          <w:kern w:val="0"/>
          <w:sz w:val="32"/>
          <w:szCs w:val="32"/>
        </w:rPr>
        <w:t>建成1个县级运营中心、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1个仓储物流配送中心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spacing w:val="-6"/>
          <w:kern w:val="0"/>
          <w:sz w:val="32"/>
          <w:szCs w:val="32"/>
        </w:rPr>
        <w:t>和99个农村电商服务站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，引进24家华纳斯电商加盟店，26家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邮乐购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体验店，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spacing w:val="-6"/>
          <w:kern w:val="0"/>
          <w:sz w:val="32"/>
          <w:szCs w:val="32"/>
        </w:rPr>
        <w:t>电商服务站点覆盖率达69%，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电商企业达278家。与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贵农网合作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创新“供销扶贫”模式。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荣获国家级、省级电子商务进农村综合示范县称号。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jc w:val="left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5、统筹协调提品质，城乡面貌焕然一新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jc w:val="left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坚持以做精县城、做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特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乡镇、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做美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乡村为抓手，全面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实施产城景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一体的山地新型城镇化。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建成玉朝大道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、小七孔大道两大城市主轴和环东、环西、环北、环南4条环城大道，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江大桥、罗家寨大桥、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坡平大桥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和江滨南路建成通车，县城路网拓展延伸至朝阳。启动实施老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荔波古城文化区，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河滨景观（一期）投入使用，成为市民休闲健身乐园。民族体育活动中心主体完工。开工建设月亮湖湿地公园、智慧旅游集散中心、智慧谷等重大项目。老政府、原县医院、原党校片区旧城改造项目启动实施。19个房开项目完成投资9亿元，销售面积20.4万平方米，城镇领域完成投资17.4亿元。启动“七星抱玉”城乡发展规划,7个特色小城镇建设有序推进，建成水甫、寨票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懂蒙等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民宿旅游示范点和赛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娥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、水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葩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、大土、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拉片四大世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居民族特色示范村寨，城镇化率达41.57%。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6、多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措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并举调结构，转型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升级成效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显著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坚持把供给侧结构性改革作为战略重点，以全域旅游引领三次产业迈向中高端。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旅游持续井喷式增长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，成功纳入全国首批全域旅游示范区创建单位，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江风景名胜区荣膺国家5A级景区并列入全省旅游度假区和100个旅游示范景区，瑶山古寨、荔波古镇荣获3A级景区。茂兰、水春河景区开发持续推进。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兰鼎山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、玄武山、观音峰、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捞村大峡谷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、七彩桫椤谷等新景区景点规划设计和招商引资工作稳步推进。2016年接待游客总人数1108万人次，旅游总收入110.96亿元，旅游增加值占GDP比重达42%，旅游业由观光游向休闲、度假、旅居、体验等复合型转变。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梦柳布依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风情小镇（一期）建成，冰雪水世界、大小七孔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游客集散中心完成主体。成功举办17个大型文化旅游活动，开辟天津、武汉、长沙等新航线，荔波知名度和美誉度大幅提升。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绿色生态工业化取得新成效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，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瑶庆绿色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工业创新示范区、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驾播工业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园、小七孔返乡创业园等园区平台，入驻企业17家，实现产值30.02亿元，引领效应逐步增强。茂兰万吨青梅酒厂复工建设，绿宝石缫丝厂（二期）建设快速推进。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新增微企608户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、民贸民品企业40家，个体工商户和民营企业分别发展到8331户、1025家，注册资金达33.44亿元，“四上”企业89家。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农业“接二连三”取得新突破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，新增瑶山、小七孔、黎明关3个省级高效农业示范园区，有机、绿色和无公害农产品种植面积比重达25%，“三品一标”认证36个，出台扶持加快青梅和桑蚕产业发展的优惠政策，农业增加值达8.9亿元。</w:t>
      </w:r>
    </w:p>
    <w:p w:rsidR="00702A48" w:rsidRPr="00702A48" w:rsidRDefault="00702A48" w:rsidP="00264BC5">
      <w:pPr>
        <w:widowControl/>
        <w:spacing w:line="560" w:lineRule="atLeast"/>
        <w:ind w:leftChars="200" w:left="420"/>
        <w:jc w:val="left"/>
        <w:textAlignment w:val="baseline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7、久久为功守底线，生态文明纵深推进</w:t>
      </w:r>
    </w:p>
    <w:p w:rsidR="00702A48" w:rsidRPr="00702A48" w:rsidRDefault="00702A48" w:rsidP="00264BC5">
      <w:pPr>
        <w:widowControl/>
        <w:spacing w:line="560" w:lineRule="atLeast"/>
        <w:ind w:leftChars="200" w:left="420" w:firstLine="640"/>
        <w:jc w:val="left"/>
        <w:textAlignment w:val="baseline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坚持既要绿水青山也要金山银山，厚植生态优势，推动绿色发展。大力实施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江流域综合治理三年行动计划，深入推进绿色荔波“六大工程”，完成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  <w:shd w:val="clear" w:color="auto" w:fill="FFFFFF"/>
        </w:rPr>
        <w:t>营造林27.5万亩、石漠化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治理12.26平方公里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  <w:shd w:val="clear" w:color="auto" w:fill="FFFFFF"/>
        </w:rPr>
        <w:t>、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水土流失治理25.64平方公里。建成7座城镇污水处理厂、7个农村环境综合整治项目。强化土地资源节约集约利用，荣获“国土资源节约集约模范县”称号。县域生态环境质量稳定趋好，成功创建省级可持续发展实验区和１个省级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生态乡镇、4个省级生态村。集中式饮用水源地水质达标率、县城环境空气质量达标率均达100%。正式纳入国家重点生态功能区。《樟江流域保护条例》公布施行，共投入5.8亿元全面实施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樟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江河综合治理，森林覆盖率达64.84%。</w:t>
      </w:r>
    </w:p>
    <w:p w:rsidR="00702A48" w:rsidRPr="00702A48" w:rsidRDefault="00702A48" w:rsidP="00264BC5">
      <w:pPr>
        <w:widowControl/>
        <w:spacing w:line="540" w:lineRule="atLeast"/>
        <w:ind w:leftChars="200" w:left="4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8、共建共享惠民生，群众福祉明显提升</w:t>
      </w:r>
    </w:p>
    <w:p w:rsidR="00702A48" w:rsidRPr="00702A48" w:rsidRDefault="00702A48" w:rsidP="00264BC5">
      <w:pPr>
        <w:widowControl/>
        <w:spacing w:line="540" w:lineRule="atLeast"/>
        <w:ind w:leftChars="200" w:left="420" w:firstLine="64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坚持以促进公共服务均等化为基本点，社会事业蓬勃发展，保障体系日臻完善。义务教育基本均衡发展和基本普及十五年教育分别通过国家、省级评估验收，荔波三中投入使用，38个薄弱学校改造项目全面建成，县中等职业学校获评省级示范中职校。高考二本以上上线人数突破千人大关，上线率位列全州第一，全县幼儿入园率达88.6%。县中医院（二期）工程有序推进，5个乡镇中医馆和卫生院标准化项目投入使用，成功建立州、县、乡三级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医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联体服务网络，“先诊疗·后付费”诚信医疗模式在全州推广。成功创建全国计划生育优质服务先进县，持续巩固国家卫生县城成果，甲良、茂兰、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佳荣列入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“国家卫生乡镇”。持续加强食药品安全监管，文体事业发展势头强劲，文艺创作成果丰硕。大力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推进水书申报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《世界记忆遗产名录》和《中国水书国际编码提案》工作。连续举办两届全国陀螺邀请赛并荣获“中国陀螺之乡”。安全形势持续稳定，治安防控和谐有序，安全生产继续保持“双零”</w:t>
      </w: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lastRenderedPageBreak/>
        <w:t>目标。整合“三中心”服务职能，创新县域群众诉求管理，荔波“421”社会创新治理模式在全省推广。</w:t>
      </w:r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群众安全感和满意</w:t>
      </w:r>
      <w:proofErr w:type="gramStart"/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度连续</w:t>
      </w:r>
      <w:proofErr w:type="gramEnd"/>
      <w:r w:rsidRPr="00702A48">
        <w:rPr>
          <w:rFonts w:ascii="Adobe 仿宋 Std R" w:eastAsia="Adobe 仿宋 Std R" w:hAnsi="Adobe 仿宋 Std R" w:cs="Calibri" w:hint="eastAsia"/>
          <w:b/>
          <w:bCs/>
          <w:color w:val="000000" w:themeColor="text1"/>
          <w:kern w:val="0"/>
          <w:sz w:val="32"/>
          <w:szCs w:val="32"/>
        </w:rPr>
        <w:t>五年位居省州前列。</w:t>
      </w:r>
    </w:p>
    <w:p w:rsidR="00702A48" w:rsidRPr="00702A48" w:rsidRDefault="00702A48" w:rsidP="00264BC5">
      <w:pPr>
        <w:widowControl/>
        <w:spacing w:line="540" w:lineRule="atLeast"/>
        <w:ind w:leftChars="200" w:left="420" w:firstLine="720"/>
        <w:rPr>
          <w:rFonts w:ascii="Adobe 仿宋 Std R" w:eastAsia="Adobe 仿宋 Std R" w:hAnsi="Adobe 仿宋 Std R" w:cs="Calibri"/>
          <w:color w:val="000000" w:themeColor="text1"/>
          <w:kern w:val="0"/>
          <w:sz w:val="32"/>
          <w:szCs w:val="32"/>
        </w:rPr>
      </w:pPr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上述成绩的取得，是全县上下及社会各界共同努力的结果，凝聚着各位各条战线、各族各界人士的智慧、心血和汗水。接下来的2017年，该县将以十八大六中全会和省州县党代会、“两会”精神为指导，紧密团结在以习近平同志为总书记的党中央周围。以景区提质升级为主抓手，举全县之力、超常规推进，确保完成景区提质升级各项工作；坚持以大脱贫统揽经济社会发展，确保2017年达到小康创建指标要求；以智慧荔波建设为主抓手，抢占大数据产业新高地；全力推进以交通、水利、电讯为重点的项目建设大提速行动，夯实发展基础；狠抓以全域旅游为核心的供给侧结构性改革，推动三次产业转型升级；大力营造山水城市、打造绿色小镇、建设美丽乡村、构建和谐社区；坚定不移厚植生态优势，大力发展绿色经济；深耕全面深化改革这个根本动力，向改革要红利；更加</w:t>
      </w:r>
      <w:proofErr w:type="gramStart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注重织密扎牢</w:t>
      </w:r>
      <w:proofErr w:type="gramEnd"/>
      <w:r w:rsidRPr="00702A48">
        <w:rPr>
          <w:rFonts w:ascii="Adobe 仿宋 Std R" w:eastAsia="Adobe 仿宋 Std R" w:hAnsi="Adobe 仿宋 Std R" w:cs="Calibri" w:hint="eastAsia"/>
          <w:color w:val="000000" w:themeColor="text1"/>
          <w:kern w:val="0"/>
          <w:sz w:val="32"/>
          <w:szCs w:val="32"/>
        </w:rPr>
        <w:t>民生保障网，让公共服务能力更加普惠大众。围绕“世界知名、国内一流的旅游目的地和休闲度假圣地”的战略定位，擦亮“地球绿宝石”、种好“旅游摇钱树”，奋力建设全国全域旅游先行示范区，全面建成小康社会。</w:t>
      </w:r>
    </w:p>
    <w:p w:rsidR="00702A48" w:rsidRPr="00702A48" w:rsidRDefault="00702A48" w:rsidP="00264BC5">
      <w:pPr>
        <w:tabs>
          <w:tab w:val="left" w:pos="1260"/>
        </w:tabs>
        <w:ind w:leftChars="200" w:left="420"/>
        <w:rPr>
          <w:rFonts w:ascii="Adobe 仿宋 Std R" w:eastAsia="Adobe 仿宋 Std R" w:hAnsi="Adobe 仿宋 Std R" w:hint="eastAsia"/>
          <w:color w:val="000000" w:themeColor="text1"/>
          <w:sz w:val="32"/>
          <w:szCs w:val="32"/>
        </w:rPr>
      </w:pPr>
    </w:p>
    <w:sectPr w:rsidR="00702A48" w:rsidRPr="0070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52"/>
    <w:rsid w:val="00264BC5"/>
    <w:rsid w:val="00702A48"/>
    <w:rsid w:val="00806952"/>
    <w:rsid w:val="00C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1642"/>
  <w15:chartTrackingRefBased/>
  <w15:docId w15:val="{F6863A08-7505-42A9-A605-02C0BF87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A4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9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563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757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8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754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859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13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286346592">
                          <w:marLeft w:val="0"/>
                          <w:marRight w:val="105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36">
                              <w:marLeft w:val="0"/>
                              <w:marRight w:val="105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E%AF%E6%B1%9F%E5%8E%BF" TargetMode="External"/><Relationship Id="rId13" Type="http://schemas.openxmlformats.org/officeDocument/2006/relationships/hyperlink" Target="https://baike.baidu.com/item/%E8%8C%82%E5%85%B0%E8%87%AA%E7%84%B6%E4%BF%9D%E6%8A%A4%E5%8C%B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A6%95%E6%B1%9F%E5%8E%BF" TargetMode="External"/><Relationship Id="rId12" Type="http://schemas.openxmlformats.org/officeDocument/2006/relationships/hyperlink" Target="https://baike.baidu.com/item/%E6%A8%9F%E6%B1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B%8E%E6%B1%9F%E5%8E%BF" TargetMode="External"/><Relationship Id="rId11" Type="http://schemas.openxmlformats.org/officeDocument/2006/relationships/hyperlink" Target="https://baike.baidu.com/item/%E4%B8%89%E9%83%BD%E6%B0%B4%E6%97%8F%E8%87%AA%E6%B2%BB%E5%8E%BF" TargetMode="External"/><Relationship Id="rId5" Type="http://schemas.openxmlformats.org/officeDocument/2006/relationships/hyperlink" Target="https://baike.baidu.com/item/%E9%BB%94%E4%B8%9C%E5%8D%97%E8%8B%97%E6%97%8F%E4%BE%97%E6%97%8F%E8%87%AA%E6%B2%BB%E5%B7%9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8B%AC%E5%B1%B1%E5%8E%BF" TargetMode="External"/><Relationship Id="rId4" Type="http://schemas.openxmlformats.org/officeDocument/2006/relationships/hyperlink" Target="https://baike.baidu.com/item/%E8%B4%B5%E5%B7%9E%E7%9C%81" TargetMode="External"/><Relationship Id="rId9" Type="http://schemas.openxmlformats.org/officeDocument/2006/relationships/hyperlink" Target="https://baike.baidu.com/item/%E5%8D%97%E4%B8%B9%E5%8E%B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777</Words>
  <Characters>4434</Characters>
  <Application>Microsoft Office Word</Application>
  <DocSecurity>0</DocSecurity>
  <Lines>36</Lines>
  <Paragraphs>10</Paragraphs>
  <ScaleCrop>false</ScaleCrop>
  <Company>NKU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wangzhihong</dc:creator>
  <cp:keywords/>
  <dc:description/>
  <cp:lastModifiedBy>wangzhihong</cp:lastModifiedBy>
  <cp:revision>3</cp:revision>
  <dcterms:created xsi:type="dcterms:W3CDTF">2017-12-03T14:33:00Z</dcterms:created>
  <dcterms:modified xsi:type="dcterms:W3CDTF">2017-12-03T14:48:00Z</dcterms:modified>
</cp:coreProperties>
</file>