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532"/>
      </w:tblGrid>
      <w:tr w:rsidR="00000000" w14:paraId="63BD9FDA" w14:textId="77777777">
        <w:trPr>
          <w:trHeight w:val="288"/>
        </w:trPr>
        <w:tc>
          <w:tcPr>
            <w:tcW w:w="3383" w:type="dxa"/>
            <w:tcBorders>
              <w:top w:val="nil"/>
              <w:left w:val="nil"/>
              <w:bottom w:val="nil"/>
              <w:right w:val="nil"/>
              <w:tl2br w:val="nil"/>
              <w:tr2bl w:val="nil"/>
            </w:tcBorders>
            <w:tcMar>
              <w:top w:w="0" w:type="dxa"/>
              <w:left w:w="108" w:type="dxa"/>
              <w:bottom w:w="0" w:type="dxa"/>
              <w:right w:w="108" w:type="dxa"/>
            </w:tcMar>
          </w:tcPr>
          <w:p w14:paraId="2B440CC4" w14:textId="77777777" w:rsidR="00000000" w:rsidRDefault="00000000">
            <w:pPr>
              <w:spacing w:before="120"/>
              <w:jc w:val="center"/>
            </w:pPr>
            <w:r>
              <w:rPr>
                <w:b/>
                <w:bCs/>
              </w:rPr>
              <w:t>THỦ TƯỚNG CHÍNH PHỦ</w:t>
            </w:r>
            <w:r>
              <w:rPr>
                <w:b/>
                <w:bCs/>
              </w:rPr>
              <w:br/>
              <w:t>-------</w:t>
            </w:r>
          </w:p>
        </w:tc>
        <w:tc>
          <w:tcPr>
            <w:tcW w:w="5532" w:type="dxa"/>
            <w:tcBorders>
              <w:top w:val="nil"/>
              <w:left w:val="nil"/>
              <w:bottom w:val="nil"/>
              <w:right w:val="nil"/>
              <w:tl2br w:val="nil"/>
              <w:tr2bl w:val="nil"/>
            </w:tcBorders>
            <w:tcMar>
              <w:top w:w="0" w:type="dxa"/>
              <w:left w:w="108" w:type="dxa"/>
              <w:bottom w:w="0" w:type="dxa"/>
              <w:right w:w="108" w:type="dxa"/>
            </w:tcMar>
          </w:tcPr>
          <w:p w14:paraId="6CAA7E56"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3E56EAEA" w14:textId="77777777">
        <w:tblPrEx>
          <w:tblBorders>
            <w:top w:val="none" w:sz="0" w:space="0" w:color="auto"/>
            <w:bottom w:val="none" w:sz="0" w:space="0" w:color="auto"/>
            <w:insideH w:val="none" w:sz="0" w:space="0" w:color="auto"/>
            <w:insideV w:val="none" w:sz="0" w:space="0" w:color="auto"/>
          </w:tblBorders>
        </w:tblPrEx>
        <w:trPr>
          <w:trHeight w:val="256"/>
        </w:trPr>
        <w:tc>
          <w:tcPr>
            <w:tcW w:w="3383" w:type="dxa"/>
            <w:tcBorders>
              <w:top w:val="nil"/>
              <w:left w:val="nil"/>
              <w:bottom w:val="nil"/>
              <w:right w:val="nil"/>
              <w:tl2br w:val="nil"/>
              <w:tr2bl w:val="nil"/>
            </w:tcBorders>
            <w:tcMar>
              <w:top w:w="0" w:type="dxa"/>
              <w:left w:w="108" w:type="dxa"/>
              <w:bottom w:w="0" w:type="dxa"/>
              <w:right w:w="108" w:type="dxa"/>
            </w:tcMar>
          </w:tcPr>
          <w:p w14:paraId="7CAA5CB6" w14:textId="77777777" w:rsidR="00000000" w:rsidRDefault="00000000">
            <w:pPr>
              <w:spacing w:before="120"/>
              <w:jc w:val="center"/>
            </w:pPr>
            <w:r>
              <w:t>Số: 1315/CT-TTg</w:t>
            </w:r>
          </w:p>
        </w:tc>
        <w:tc>
          <w:tcPr>
            <w:tcW w:w="5532" w:type="dxa"/>
            <w:tcBorders>
              <w:top w:val="nil"/>
              <w:left w:val="nil"/>
              <w:bottom w:val="nil"/>
              <w:right w:val="nil"/>
              <w:tl2br w:val="nil"/>
              <w:tr2bl w:val="nil"/>
            </w:tcBorders>
            <w:tcMar>
              <w:top w:w="0" w:type="dxa"/>
              <w:left w:w="108" w:type="dxa"/>
              <w:bottom w:w="0" w:type="dxa"/>
              <w:right w:w="108" w:type="dxa"/>
            </w:tcMar>
          </w:tcPr>
          <w:p w14:paraId="2EB3AF40" w14:textId="77777777" w:rsidR="00000000" w:rsidRDefault="00000000">
            <w:pPr>
              <w:spacing w:before="120"/>
              <w:jc w:val="right"/>
            </w:pPr>
            <w:r>
              <w:rPr>
                <w:i/>
                <w:iCs/>
              </w:rPr>
              <w:t>Hà Nội, ngày 03 tháng 08 năm 2011</w:t>
            </w:r>
          </w:p>
        </w:tc>
      </w:tr>
    </w:tbl>
    <w:p w14:paraId="277EE37C" w14:textId="77777777" w:rsidR="00000000" w:rsidRDefault="00000000">
      <w:pPr>
        <w:spacing w:before="120" w:after="280" w:afterAutospacing="1"/>
      </w:pPr>
      <w:r>
        <w:t> </w:t>
      </w:r>
    </w:p>
    <w:p w14:paraId="49E9C2AB" w14:textId="77777777" w:rsidR="00000000" w:rsidRDefault="00000000">
      <w:pPr>
        <w:spacing w:before="120" w:after="280" w:afterAutospacing="1"/>
        <w:jc w:val="center"/>
      </w:pPr>
      <w:r>
        <w:rPr>
          <w:b/>
          <w:bCs/>
        </w:rPr>
        <w:t>CHỈ THỊ</w:t>
      </w:r>
    </w:p>
    <w:p w14:paraId="27DE03EC" w14:textId="77777777" w:rsidR="00000000" w:rsidRDefault="00000000">
      <w:pPr>
        <w:spacing w:before="120" w:after="280" w:afterAutospacing="1"/>
        <w:jc w:val="center"/>
      </w:pPr>
      <w:r>
        <w:t>VỀ CHẤN CHỈNH VIỆC THỰC HIỆN HOẠT ĐỘNG ĐẤU THẦU SỬ DỤNG VỐN NHÀ NƯỚC, NÂNG CAO HIỆU QUẢ CÔNG TÁC ĐẤU THẦU</w:t>
      </w:r>
    </w:p>
    <w:p w14:paraId="0B493A7F" w14:textId="77777777" w:rsidR="00000000" w:rsidRDefault="00000000">
      <w:pPr>
        <w:spacing w:before="120" w:after="280" w:afterAutospacing="1"/>
      </w:pPr>
      <w:r>
        <w:t>Thời gian qua, việc triển khai thực hiện Luật Đấu thầu số 61/2005/QH11 và Luật sửa đổi số 38/2009/QH12, công tác đấu thầu đã đạt được kết quả nhất định. Chủ trương tăng cường phân cấp cho các Bộ, ngành, địa phương kết hợp với công tác hậu kiểm trong lĩnh vực đấu thầu được quán triệt và triển khai đồng bộ từ Trung ương đến địa phương, từng bước khắc phục việc đấu thầu hình thức hoặc các hình thức đấu thầu kém cạnh tranh… Việc thực hiện quy định về đấu thầu đã góp phần quan trọng trong việc sử dụng có hiệu quả nguồn vốn của Nhà nước, tăng cường tính minh bạch, cạnh tranh của công tác đấu thầu, từ đó nâng cao chất lượng công trình, thiết bị mua sắm và dịch vụ tư vấn.</w:t>
      </w:r>
    </w:p>
    <w:p w14:paraId="1355D1BD" w14:textId="77777777" w:rsidR="00000000" w:rsidRDefault="00000000">
      <w:pPr>
        <w:spacing w:before="120" w:after="280" w:afterAutospacing="1"/>
      </w:pPr>
      <w:r>
        <w:t>Tuy nhiên, hiệu quả hoạt động công tác đấu thầu năm 2010 còn một số tồn tại như: Cơ chế, chính sách liên quan đến đấu thầu được ban hành và hướng dẫn chưa kịp thời; năng lực của chủ đầu tư, bên mời thầu, các tổ chức tư vấn ở một số địa phương còn hạn chế; công tác đào tạo chưa được triển khai toàn diện; chất lượng của một số công việc chuẩn bị cho đấu thầu như công tác lập, trình, phê duyệt kế hoạch đấu thầu chưa bảo đảm và chưa đáp ứng yêu cầu về chuyên môn, chuyên nghiệp; xu hướng đề nghị áp dụng hình thức chỉ định thầu vẫn còn nhiều, không thực hiện phân cấp theo quy định. Ngoài ra, chất lượng báo cáo về đấu thầu của một số Bộ, ngành, địa phương còn mang tính hình thức, thậm chí nhiều cơ quan, đơn vị không báo cáo theo quy định; vấn đề quản lý sau đấu thầu chưa được quan tâm đúng mức v.v…</w:t>
      </w:r>
    </w:p>
    <w:p w14:paraId="5E5BEA98" w14:textId="77777777" w:rsidR="00000000" w:rsidRDefault="00000000">
      <w:pPr>
        <w:spacing w:before="120" w:after="280" w:afterAutospacing="1"/>
      </w:pPr>
      <w:r>
        <w:t>Để khắc phục những tồn tại nêu trên, tăng cường hiệu lực quản lý nhà nước, hiệu quả của công tác đấu thầu đáp ứng yêu cầu chỉ đạo, điều hành trong tình hình mới, Thủ tướng Chính phủ yêu cầu Bộ trưởng, Thủ trưởng cơ quan ngang Bộ, Thủ trưởng cơ quan thuộc Chính phủ, Chủ tịch Ủy ban nhân dân tỉnh, thành phố trực thuộc Trung ương, Hội đồng quản trị của doanh nghiệp nhà nước có trách nhiệm chỉ đạo, đôn đốc các đơn vị trực thuộc nghiêm túc thực hiện các nhiệm vụ sau:</w:t>
      </w:r>
    </w:p>
    <w:p w14:paraId="0743A622" w14:textId="77777777" w:rsidR="00000000" w:rsidRDefault="00000000">
      <w:pPr>
        <w:spacing w:before="120" w:after="280" w:afterAutospacing="1"/>
      </w:pPr>
      <w:r>
        <w:t>1. Tổ chức nghiên cứu, quán triệt, thực hiện đúng quy định của Luật Đấu thầu, Luật sửa đổi, Nghị định số 85/2009/NĐ-CP ngày 15 tháng 10 năm 2009 của Chính phủ về hướng dẫn thi hành Luật Đấu thầu và lựa chọn nhà thầu xây dựng theo Luật Xây dựng và các văn bản hướng dẫn thực hiện công tác đấu thầu của các Bộ, ngành có liên quan; tăng cường kiểm tra, giám sát việc thực thi pháp luật về đấu thầu và chấp hành nghiêm túc chế độ xử lý vi phạm về đấu thầu; kịp thời kiểm điểm, xử lý nghiêm cá nhân, tổ chức không thực hiện hoặc thực hiện không đầy đủ các quy định của pháp luật về đấu thầu.</w:t>
      </w:r>
    </w:p>
    <w:p w14:paraId="494922D2" w14:textId="77777777" w:rsidR="00000000" w:rsidRDefault="00000000">
      <w:pPr>
        <w:spacing w:before="120" w:after="280" w:afterAutospacing="1"/>
      </w:pPr>
      <w:r>
        <w:lastRenderedPageBreak/>
        <w:t>2. Thực hiện đúng chỉ đạo của Thủ tướng Chính phủ tại công văn số 164/TTg-KTN ngày 10 tháng 02 năm 2011 về tình hình thực hiện chỉ định thầu theo công văn số 229/TTg-KTN ngày 22 tháng 6 năm 2009, cụ thể cần tập trung bố trí vốn và chỉ đạo thực hiện dứt điểm đối với các gói thầu, dự án nằm trong danh mục được Thủ tướng Chính phủ cho phép áp dụng chỉ định thầu và gia hạn sang năm 2011 để đảm bảo hoàn thành trước cuối năm 2011.</w:t>
      </w:r>
    </w:p>
    <w:p w14:paraId="15C99C2C" w14:textId="77777777" w:rsidR="00000000" w:rsidRDefault="00000000">
      <w:pPr>
        <w:spacing w:before="120" w:after="280" w:afterAutospacing="1"/>
      </w:pPr>
      <w:r>
        <w:t>3. Nghiêm túc thực hiện các quy định về chỉ định thầu được quy định tại Luật Đấu thầu, Luật Xây dựng, Nghị định số 85/2009/NĐ-CP. Những gói thầu không thuộc trường hợp được chỉ định thầu cần được tổ chức đấu thầu rộng rãi hoặc các hình thức khác phù hợp theo quy định.</w:t>
      </w:r>
    </w:p>
    <w:p w14:paraId="7278FB34" w14:textId="77777777" w:rsidR="00000000" w:rsidRDefault="00000000">
      <w:pPr>
        <w:spacing w:before="120" w:after="280" w:afterAutospacing="1"/>
      </w:pPr>
      <w:r>
        <w:t xml:space="preserve">Việc quyết định áp dụng chỉ định thầu cần tuân thủ theo tinh thần đã phân cấp, cụ thể người có thẩm quyền (Bộ trưởng, Thủ trưởng cơ quan ngang Bộ, Chủ tịch Ủy ban nhân dân cấp tỉnh…) có trách nhiệm quyết định việc áp dụng chỉ định thầu đối với những gói thầu phù hợp với quy định tại </w:t>
      </w:r>
      <w:bookmarkStart w:id="0" w:name="dc_1"/>
      <w:r>
        <w:t>Điều 20 Luật Đấu thầu</w:t>
      </w:r>
      <w:bookmarkEnd w:id="0"/>
      <w:r>
        <w:t xml:space="preserve">, </w:t>
      </w:r>
      <w:bookmarkStart w:id="1" w:name="dc_7"/>
      <w:r>
        <w:t>Khoản 4 Điều 2 của Luật sửa đổi</w:t>
      </w:r>
      <w:bookmarkEnd w:id="1"/>
      <w:r>
        <w:t xml:space="preserve">, </w:t>
      </w:r>
      <w:bookmarkStart w:id="2" w:name="dc_3"/>
      <w:r>
        <w:t>Khoản 1 và các Điểm a đến i Khoản 2 Điều 40 Nghị định số 85/2009/NĐ-CP</w:t>
      </w:r>
      <w:bookmarkEnd w:id="2"/>
      <w:r>
        <w:t>. Trường hợp các gói thầu đủ điều kiện áp dụng chỉ định thầu nhưng vẫn có thể tổ chức đấu thầu (như trường hợp gói thầu nằm trong hạn mức được áp dụng chỉ định thầu…) thì khuyến khích tổ chức đấu thầu để đảm bảo hiệu quả kinh tế và tránh gây lãng phí nguồn vốn nhà nước.</w:t>
      </w:r>
    </w:p>
    <w:p w14:paraId="2649F513" w14:textId="77777777" w:rsidR="00000000" w:rsidRDefault="00000000">
      <w:pPr>
        <w:spacing w:before="120" w:after="280" w:afterAutospacing="1"/>
      </w:pPr>
      <w:r>
        <w:t>4. Chỉ đạo chủ đầu tư, bên mời thầu các dự án sử dụng vốn nhà nước, các cơ quan, đơn vị tổ chức lựa chọn nhà thầu thực hiện các gói thầu sử dụng vốn nhà nước theo quy định của pháp luật về đấu thầu nghiêm túc thực hiện Chỉ thị số 494/CT-TTg ngày 20 tháng 4 năm 2010 của Thủ tướng Chính phủ về việc sử dụng vật tư, hàng hóa sản xuất trong nước trong công tác đấu thầu các dự án sử dụng vốn nhà nước.</w:t>
      </w:r>
    </w:p>
    <w:p w14:paraId="7E4BA50D" w14:textId="77777777" w:rsidR="00000000" w:rsidRDefault="00000000">
      <w:pPr>
        <w:spacing w:before="120" w:after="280" w:afterAutospacing="1"/>
      </w:pPr>
      <w:r>
        <w:t>5. Chỉ đạo việc tăng cường đào tạo và nâng cao năng lực cho chủ đầu tư, bên mời thầu để đảm bảo thực hiện tốt việc phân cấp trong đầu tư xây dựng cơ bản; thực hiện kiểm tra, rà soát điều kiện và năng lực của các chủ đầu tư, ban quản lý dự án. Nếu không đáp ứng yêu cầu theo quy định thì không giao quản lý dự án hoặc chuyển đổi chủ đầu tư đủ điều kiện năng lực đảm nhiệm.</w:t>
      </w:r>
    </w:p>
    <w:p w14:paraId="3707EB0B" w14:textId="77777777" w:rsidR="00000000" w:rsidRDefault="00000000">
      <w:pPr>
        <w:spacing w:before="120" w:after="280" w:afterAutospacing="1"/>
      </w:pPr>
      <w:r>
        <w:t>6. Tăng cường công tác quản lý đấu thầu theo trách nhiệm được phân cấp. Chấn chỉnh và củng cố đội ngũ cán bộ, công chức thực hiện công tác quản lý nhà nước về đấu thầu, bảo đảm thực hiện tốt chức năng quản lý nhà nước về đấu thầu tại các Bộ, ngành và địa phương theo phân cấp đã được quy định cụ thể.</w:t>
      </w:r>
    </w:p>
    <w:p w14:paraId="45D0E0A2" w14:textId="77777777" w:rsidR="00000000" w:rsidRDefault="00000000">
      <w:pPr>
        <w:spacing w:before="120" w:after="280" w:afterAutospacing="1"/>
      </w:pPr>
      <w:r>
        <w:t>7. Chấn chỉnh và thực hiện nghiêm túc công tác báo cáo về đấu thầu; nâng cao chất lượng nội dung báo cáo, số liệu phải đầy đủ và trung thực; thời gian báo cáo tuân thủ theo đúng quy định.</w:t>
      </w:r>
    </w:p>
    <w:p w14:paraId="7946864F" w14:textId="77777777" w:rsidR="00000000" w:rsidRDefault="00000000">
      <w:pPr>
        <w:spacing w:before="120" w:after="280" w:afterAutospacing="1"/>
      </w:pPr>
      <w:r>
        <w:t>8. Bộ Kế hoạch và Đầu tư chủ trì, phối hợp với các cơ quan liên quan kiểm tra, giám sát để phát hiện và yêu cầu xử lý kịp thời những vi phạm trong công tác đấu thầu; báo cáo Thủ tướng Chính phủ để xử lý nghiêm minh đối với việc vi phạm pháp luật về đấu thầu trong trường hợp cần thiết.</w:t>
      </w:r>
    </w:p>
    <w:p w14:paraId="219B6E46" w14:textId="77777777" w:rsidR="00000000" w:rsidRDefault="00000000">
      <w:pPr>
        <w:spacing w:before="120" w:after="280" w:afterAutospacing="1"/>
      </w:pPr>
      <w:r>
        <w:t>9. Bộ Công Thương chủ trì tổng hợp đánh giá việc thực hiện Chỉ thị số 494/CT-TTg ngày 20 tháng 4 năm 2010 của Thủ tướng Chính phủ, đề xuất biện pháp thực hiện có hiệu quả chủ trương sử dụng vật tư, hàng hóa sản xuất trong nước trong công tác đấu thầu đối với các dự án sử dụng vốn nhà nước.</w:t>
      </w:r>
    </w:p>
    <w:p w14:paraId="62E24AB8" w14:textId="77777777" w:rsidR="00000000" w:rsidRDefault="00000000">
      <w:pPr>
        <w:spacing w:before="120" w:after="280" w:afterAutospacing="1"/>
      </w:pPr>
      <w:r>
        <w:lastRenderedPageBreak/>
        <w:t>Các Bộ trưởng, Thủ trưởng cơ quan ngang Bộ, Thủ trưởng cơ quan thuộc Chính phủ, Chủ tịch Ủy ban nhân dân tỉnh, thành phố trực thuộc Trung ương, Hội đồng quản trị của doanh nghiệp và các tổ chức, cá nhân có liên quan chịu trách nhiệm tổ chức thực hiện Chỉ thị này.</w:t>
      </w:r>
    </w:p>
    <w:p w14:paraId="1E596623" w14:textId="77777777" w:rsidR="00000000" w:rsidRDefault="00000000">
      <w:pPr>
        <w:spacing w:before="120" w:after="280" w:afterAutospacing="1"/>
      </w:pPr>
      <w:r>
        <w:t>Chỉ thị này có hiệu lực thi hành kể từ ngày ký ban hành./.</w:t>
      </w:r>
    </w:p>
    <w:p w14:paraId="66B018C4"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7ACC1EBB" w14:textId="77777777">
        <w:tc>
          <w:tcPr>
            <w:tcW w:w="4428" w:type="dxa"/>
            <w:tcBorders>
              <w:top w:val="nil"/>
              <w:left w:val="nil"/>
              <w:bottom w:val="nil"/>
              <w:right w:val="nil"/>
              <w:tl2br w:val="nil"/>
              <w:tr2bl w:val="nil"/>
            </w:tcBorders>
            <w:tcMar>
              <w:top w:w="0" w:type="dxa"/>
              <w:left w:w="108" w:type="dxa"/>
              <w:bottom w:w="0" w:type="dxa"/>
              <w:right w:w="108" w:type="dxa"/>
            </w:tcMar>
          </w:tcPr>
          <w:p w14:paraId="0CB2FF0F" w14:textId="77777777" w:rsidR="00000000" w:rsidRDefault="00000000">
            <w:pPr>
              <w:spacing w:before="120" w:after="280" w:afterAutospacing="1"/>
            </w:pPr>
            <w:r>
              <w:t> </w:t>
            </w:r>
          </w:p>
          <w:p w14:paraId="49EF8C7C" w14:textId="77777777" w:rsidR="00000000" w:rsidRDefault="0000000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CP;</w:t>
            </w:r>
            <w:r>
              <w:rPr>
                <w:sz w:val="16"/>
              </w:rPr>
              <w:br/>
              <w:t>- VP BCĐTW về phòng, chống tham nhũng;</w:t>
            </w:r>
            <w:r>
              <w:rPr>
                <w:sz w:val="16"/>
              </w:rPr>
              <w:br/>
              <w:t>- HĐND, UBND các tỉnh, TP trực thuộc TW;</w:t>
            </w:r>
            <w:r>
              <w:rPr>
                <w:sz w:val="16"/>
              </w:rPr>
              <w:br/>
              <w:t>- Văn phòng Trung ương và các Ban của Đảng;</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UBTW Mặt trận Tổ quốc Việt Nam;</w:t>
            </w:r>
            <w:r>
              <w:rPr>
                <w:sz w:val="16"/>
              </w:rPr>
              <w:br/>
              <w:t>- Cơ quan Trung ương của các đoàn thể;</w:t>
            </w:r>
            <w:r>
              <w:rPr>
                <w:sz w:val="16"/>
              </w:rPr>
              <w:br/>
              <w:t>- Các Tập đoàn kinh tế Nhà nước và TCT 91;</w:t>
            </w:r>
            <w:r>
              <w:rPr>
                <w:sz w:val="16"/>
              </w:rPr>
              <w:br/>
              <w:t>- VPCP: BTCN, các PCN, Cổng TTĐT, các Vụ, Cục, đơn vị trực thuộc, Công báo;</w:t>
            </w:r>
            <w:r>
              <w:rPr>
                <w:sz w:val="16"/>
              </w:rPr>
              <w:br/>
              <w:t>- Lưu: Văn thư, KTN (5b).</w:t>
            </w:r>
          </w:p>
        </w:tc>
        <w:tc>
          <w:tcPr>
            <w:tcW w:w="4428" w:type="dxa"/>
            <w:tcBorders>
              <w:top w:val="nil"/>
              <w:left w:val="nil"/>
              <w:bottom w:val="nil"/>
              <w:right w:val="nil"/>
              <w:tl2br w:val="nil"/>
              <w:tr2bl w:val="nil"/>
            </w:tcBorders>
            <w:tcMar>
              <w:top w:w="0" w:type="dxa"/>
              <w:left w:w="108" w:type="dxa"/>
              <w:bottom w:w="0" w:type="dxa"/>
              <w:right w:w="108" w:type="dxa"/>
            </w:tcMar>
          </w:tcPr>
          <w:p w14:paraId="05ED4712" w14:textId="77777777" w:rsidR="00000000" w:rsidRDefault="00000000">
            <w:pPr>
              <w:spacing w:before="120"/>
              <w:jc w:val="center"/>
            </w:pPr>
            <w:r>
              <w:rPr>
                <w:b/>
                <w:bCs/>
              </w:rPr>
              <w:t>THỦ TƯỚNG</w:t>
            </w:r>
            <w:r>
              <w:rPr>
                <w:b/>
                <w:bCs/>
              </w:rPr>
              <w:br/>
            </w:r>
            <w:r>
              <w:rPr>
                <w:b/>
                <w:bCs/>
              </w:rPr>
              <w:br/>
            </w:r>
            <w:r>
              <w:rPr>
                <w:b/>
                <w:bCs/>
              </w:rPr>
              <w:br/>
            </w:r>
            <w:r>
              <w:rPr>
                <w:b/>
                <w:bCs/>
              </w:rPr>
              <w:br/>
            </w:r>
            <w:r>
              <w:rPr>
                <w:b/>
                <w:bCs/>
              </w:rPr>
              <w:br/>
              <w:t>Nguyễn Tấn Dũng</w:t>
            </w:r>
          </w:p>
        </w:tc>
      </w:tr>
    </w:tbl>
    <w:p w14:paraId="03C3D7AF" w14:textId="77777777" w:rsidR="0046523B" w:rsidRDefault="00000000">
      <w:pPr>
        <w:spacing w:before="120" w:after="280" w:afterAutospacing="1"/>
      </w:pPr>
      <w:r>
        <w:t> </w:t>
      </w:r>
    </w:p>
    <w:sectPr w:rsidR="0046523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7D4C"/>
    <w:rsid w:val="0046523B"/>
    <w:rsid w:val="006B7D4C"/>
    <w:rsid w:val="00BB02B5"/>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3D20F1"/>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1537</Words>
  <Characters>5595</Characters>
  <Application>Microsoft Office Word</Application>
  <DocSecurity>0</DocSecurity>
  <Lines>136</Lines>
  <Paragraphs>93</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2025-12-20T09:33:00Z</dcterms:created>
  <dcterms:modified xsi:type="dcterms:W3CDTF">2025-12-20T09:33:00Z</dcterms:modified>
</cp:coreProperties>
</file>