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СБОРНИК С ОСНОВНИТЕ ЗАКОНИ</w:t>
        <w:br/>
        <w:t>НА РЕПУБЛИКА ПУСТИНЯКОВО</w:t>
      </w:r>
    </w:p>
    <w:p>
      <w:pPr>
        <w:spacing w:before="120"/>
        <w:jc w:val="center"/>
      </w:pPr>
      <w:r>
        <w:rPr>
          <w:i/>
        </w:rPr>
        <w:t>Подготвен по хронологията на Народна Република Пустиняково</w:t>
        <w:br/>
        <w:t>и Република Пустиняково (1912–2025)</w:t>
      </w:r>
    </w:p>
    <w:p>
      <w:pPr>
        <w:spacing w:before="480"/>
        <w:jc w:val="center"/>
      </w:pPr>
      <w:r>
        <w:rPr>
          <w:b/>
        </w:rPr>
        <w:t>Работен нормативен сборник</w:t>
      </w:r>
    </w:p>
    <w:p>
      <w:pPr>
        <w:spacing w:before="2800"/>
        <w:jc w:val="center"/>
      </w:pPr>
      <w:r>
        <w:t>Систематизиран по сектори и исторически периоди</w:t>
      </w:r>
    </w:p>
    <w:p>
      <w:r>
        <w:br w:type="page"/>
      </w:r>
    </w:p>
    <w:p>
      <w:pPr>
        <w:pStyle w:val="Heading1"/>
      </w:pPr>
      <w:r>
        <w:t>Общи бележки</w:t>
      </w:r>
    </w:p>
    <w:p>
      <w:r>
        <w:t>Настоящият сборник представя основните закони на Пустиняково в систематизиран вид, като съчетава юридическа форма с историческата логика на развитието на държавата.</w:t>
      </w:r>
    </w:p>
    <w:p>
      <w:r>
        <w:t>Идентификационният номер на всеки закон следва модела PU[година]/XXX, където годината е годината на приемане, а XXX е пореден номер за съответната година.</w:t>
      </w:r>
    </w:p>
    <w:p>
      <w:r>
        <w:t>Текстовете са оформени в опростен юридически стил с членове, точки и алинеи, така че да бъдат лесни за четене, но да звучат като реални нормативни актове.</w:t>
      </w:r>
    </w:p>
    <w:p>
      <w:r>
        <w:t>Сборникът е разделен по сектори: конституционен ред, избори, сигурност, съдебна власт, вътрешен ред, образование, икономика, енергетика, местно управление, медии, права и свободи и следвоенно възстановяване.</w:t>
      </w:r>
    </w:p>
    <w:p>
      <w:pPr>
        <w:pStyle w:val="Heading2"/>
      </w:pPr>
      <w:r>
        <w:t>Съдържателна карта на секторите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21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Сектор</w:t>
            </w:r>
          </w:p>
        </w:tc>
        <w:tc>
          <w:tcPr>
            <w:tcW w:type="dxa" w:w="321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Период</w:t>
            </w:r>
          </w:p>
        </w:tc>
        <w:tc>
          <w:tcPr>
            <w:tcW w:type="dxa" w:w="3211"/>
            <w:shd w:fill="D9E2F3"/>
            <w:vAlign w:val="center"/>
          </w:tcPr>
          <w:p>
            <w:pPr>
              <w:jc w:val="center"/>
            </w:pPr>
            <w:r>
              <w:rPr>
                <w:b/>
              </w:rPr>
              <w:t>Основен фокус</w:t>
            </w:r>
          </w:p>
        </w:tc>
      </w:tr>
      <w:tr>
        <w:tc>
          <w:tcPr>
            <w:tcW w:type="dxa" w:w="3211"/>
            <w:vAlign w:val="center"/>
          </w:tcPr>
          <w:p>
            <w:r>
              <w:t>Конституционен ред</w:t>
            </w:r>
          </w:p>
        </w:tc>
        <w:tc>
          <w:tcPr>
            <w:tcW w:type="dxa" w:w="3211"/>
            <w:vAlign w:val="center"/>
          </w:tcPr>
          <w:p>
            <w:r>
              <w:t>1952–2022</w:t>
            </w:r>
          </w:p>
        </w:tc>
        <w:tc>
          <w:tcPr>
            <w:tcW w:type="dxa" w:w="3211"/>
            <w:vAlign w:val="center"/>
          </w:tcPr>
          <w:p>
            <w:r>
              <w:t>държавно устройство, президентство, Върховен конгрес</w:t>
            </w:r>
          </w:p>
        </w:tc>
      </w:tr>
      <w:tr>
        <w:tc>
          <w:tcPr>
            <w:tcW w:type="dxa" w:w="3211"/>
            <w:vAlign w:val="center"/>
          </w:tcPr>
          <w:p>
            <w:r>
              <w:t>Избори и партии</w:t>
            </w:r>
          </w:p>
        </w:tc>
        <w:tc>
          <w:tcPr>
            <w:tcW w:type="dxa" w:w="3211"/>
            <w:vAlign w:val="center"/>
          </w:tcPr>
          <w:p>
            <w:r>
              <w:t>1990–2024</w:t>
            </w:r>
          </w:p>
        </w:tc>
        <w:tc>
          <w:tcPr>
            <w:tcW w:type="dxa" w:w="3211"/>
            <w:vAlign w:val="center"/>
          </w:tcPr>
          <w:p>
            <w:r>
              <w:t>изборна система, регистрация на партии, изборна администрация</w:t>
            </w:r>
          </w:p>
        </w:tc>
      </w:tr>
      <w:tr>
        <w:tc>
          <w:tcPr>
            <w:tcW w:type="dxa" w:w="3211"/>
            <w:vAlign w:val="center"/>
          </w:tcPr>
          <w:p>
            <w:r>
              <w:t>Сигурност и армия</w:t>
            </w:r>
          </w:p>
        </w:tc>
        <w:tc>
          <w:tcPr>
            <w:tcW w:type="dxa" w:w="3211"/>
            <w:vAlign w:val="center"/>
          </w:tcPr>
          <w:p>
            <w:r>
              <w:t>1984–2024</w:t>
            </w:r>
          </w:p>
        </w:tc>
        <w:tc>
          <w:tcPr>
            <w:tcW w:type="dxa" w:w="3211"/>
            <w:vAlign w:val="center"/>
          </w:tcPr>
          <w:p>
            <w:r>
              <w:t>военна служба, извънредни правомощия, национална сигурност</w:t>
            </w:r>
          </w:p>
        </w:tc>
      </w:tr>
      <w:tr>
        <w:tc>
          <w:tcPr>
            <w:tcW w:type="dxa" w:w="3211"/>
            <w:vAlign w:val="center"/>
          </w:tcPr>
          <w:p>
            <w:r>
              <w:t>Съдебна власт</w:t>
            </w:r>
          </w:p>
        </w:tc>
        <w:tc>
          <w:tcPr>
            <w:tcW w:type="dxa" w:w="3211"/>
            <w:vAlign w:val="center"/>
          </w:tcPr>
          <w:p>
            <w:r>
              <w:t>1952–2024</w:t>
            </w:r>
          </w:p>
        </w:tc>
        <w:tc>
          <w:tcPr>
            <w:tcW w:type="dxa" w:w="3211"/>
            <w:vAlign w:val="center"/>
          </w:tcPr>
          <w:p>
            <w:r>
              <w:t>съдилища, прокуратура, възстановяване на независимостта</w:t>
            </w:r>
          </w:p>
        </w:tc>
      </w:tr>
      <w:tr>
        <w:tc>
          <w:tcPr>
            <w:tcW w:type="dxa" w:w="3211"/>
            <w:vAlign w:val="center"/>
          </w:tcPr>
          <w:p>
            <w:r>
              <w:t>Образование и наука</w:t>
            </w:r>
          </w:p>
        </w:tc>
        <w:tc>
          <w:tcPr>
            <w:tcW w:type="dxa" w:w="3211"/>
            <w:vAlign w:val="center"/>
          </w:tcPr>
          <w:p>
            <w:r>
              <w:t>1948–2024</w:t>
            </w:r>
          </w:p>
        </w:tc>
        <w:tc>
          <w:tcPr>
            <w:tcW w:type="dxa" w:w="3211"/>
            <w:vAlign w:val="center"/>
          </w:tcPr>
          <w:p>
            <w:r>
              <w:t>задължително обучение, университети, академична автономия</w:t>
            </w:r>
          </w:p>
        </w:tc>
      </w:tr>
      <w:tr>
        <w:tc>
          <w:tcPr>
            <w:tcW w:type="dxa" w:w="3211"/>
            <w:vAlign w:val="center"/>
          </w:tcPr>
          <w:p>
            <w:r>
              <w:t>Икономика и инфраструктура</w:t>
            </w:r>
          </w:p>
        </w:tc>
        <w:tc>
          <w:tcPr>
            <w:tcW w:type="dxa" w:w="3211"/>
            <w:vAlign w:val="center"/>
          </w:tcPr>
          <w:p>
            <w:r>
              <w:t>1950–2024</w:t>
            </w:r>
          </w:p>
        </w:tc>
        <w:tc>
          <w:tcPr>
            <w:tcW w:type="dxa" w:w="3211"/>
            <w:vAlign w:val="center"/>
          </w:tcPr>
          <w:p>
            <w:r>
              <w:t>държавна собственост, приватизация, стратегически предприятия</w:t>
            </w:r>
          </w:p>
        </w:tc>
      </w:tr>
      <w:tr>
        <w:tc>
          <w:tcPr>
            <w:tcW w:type="dxa" w:w="3211"/>
            <w:vAlign w:val="center"/>
          </w:tcPr>
          <w:p>
            <w:r>
              <w:t>Права и свободи</w:t>
            </w:r>
          </w:p>
        </w:tc>
        <w:tc>
          <w:tcPr>
            <w:tcW w:type="dxa" w:w="3211"/>
            <w:vAlign w:val="center"/>
          </w:tcPr>
          <w:p>
            <w:r>
              <w:t>2006–2024</w:t>
            </w:r>
          </w:p>
        </w:tc>
        <w:tc>
          <w:tcPr>
            <w:tcW w:type="dxa" w:w="3211"/>
            <w:vAlign w:val="center"/>
          </w:tcPr>
          <w:p>
            <w:r>
              <w:t>лични права, вероизповедания, защита на човешките права</w:t>
            </w:r>
          </w:p>
        </w:tc>
      </w:tr>
      <w:tr>
        <w:tc>
          <w:tcPr>
            <w:tcW w:type="dxa" w:w="3211"/>
            <w:vAlign w:val="center"/>
          </w:tcPr>
          <w:p>
            <w:r>
              <w:t>Следвоенно възстановяване</w:t>
            </w:r>
          </w:p>
        </w:tc>
        <w:tc>
          <w:tcPr>
            <w:tcW w:type="dxa" w:w="3211"/>
            <w:vAlign w:val="center"/>
          </w:tcPr>
          <w:p>
            <w:r>
              <w:t>2024–2025</w:t>
            </w:r>
          </w:p>
        </w:tc>
        <w:tc>
          <w:tcPr>
            <w:tcW w:type="dxa" w:w="3211"/>
            <w:vAlign w:val="center"/>
          </w:tcPr>
          <w:p>
            <w:r>
              <w:t>нормализация, възстановяване на институциите, резерви</w:t>
            </w:r>
          </w:p>
        </w:tc>
      </w:tr>
    </w:tbl>
    <w:p>
      <w:r>
        <w:br w:type="page"/>
      </w:r>
    </w:p>
    <w:p>
      <w:pPr>
        <w:pStyle w:val="Heading1"/>
      </w:pPr>
      <w:r>
        <w:t>Конституционен ред и държавно устройство</w:t>
      </w:r>
    </w:p>
    <w:p>
      <w:pPr>
        <w:pStyle w:val="Heading3"/>
        <w:spacing w:before="120" w:after="60"/>
      </w:pPr>
      <w:r>
        <w:rPr>
          <w:b/>
        </w:rPr>
        <w:t>Конституция на Народна Република Пустиняково</w:t>
      </w:r>
    </w:p>
    <w:p>
      <w:pPr>
        <w:spacing w:after="60"/>
      </w:pPr>
      <w:r>
        <w:rPr>
          <w:b/>
        </w:rPr>
        <w:t>Година на приемане: 1952    Идентификационен номер: PU1952/001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Урежда основите на държавата, еднопартийната система и централизираното управление след провъзгласяването на НРП.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Народна Република Пустиняково е суверенна социалистическа държава, основана върху единството на труда, народната власт и обществената собственост.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Върховна ръководна сила в държавата е Пустиняшката комунистическа партия, която определя основните направления на вътрешната и външната политика.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Президентът на НРП е държавен глава и представлява републиката пред вътрешни и външни органи; той се избира от Народното събрание по предложение на партията.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Народните съвети по области и общини осъществяват местното управление в рамките на единната държавна политика.</w:t>
      </w:r>
    </w:p>
    <w:p>
      <w:pPr>
        <w:spacing w:after="40"/>
        <w:ind w:left="170" w:hanging="170"/>
      </w:pPr>
      <w:r>
        <w:rPr>
          <w:b/>
        </w:rPr>
        <w:t xml:space="preserve">Чл. 5. </w:t>
      </w:r>
      <w:r>
        <w:t>Земята, мините, енергетиката, големите предприятия и железопътната инфраструктура са обществена собственост и не подлежат на частно отчуждаване.</w:t>
      </w:r>
    </w:p>
    <w:p/>
    <w:p>
      <w:pPr>
        <w:pStyle w:val="Heading3"/>
        <w:spacing w:before="120" w:after="60"/>
      </w:pPr>
      <w:r>
        <w:rPr>
          <w:b/>
        </w:rPr>
        <w:t>Закон за Народните съвети и местното управление</w:t>
      </w:r>
    </w:p>
    <w:p>
      <w:pPr>
        <w:spacing w:after="60"/>
      </w:pPr>
      <w:r>
        <w:rPr>
          <w:b/>
        </w:rPr>
        <w:t>Година на приемане: 1952    Идентификационен номер: PU1952/002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местните органи на управление в ранната държава.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Във всяка област, град и район се създава Народен съвет като основен орган на местната власт.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Народният съвет приема местни планове за снабдяване, трудова мобилизация, жилищно строителство и обществен ред.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Председателят на Народния съвет се утвърждава от централната власт и отговаря за изпълнението на държавните задачи на местно равнище.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Решенията на Народните съвети не могат да противоречат на Конституцията, указите на президента и решенията на централните партийни органи.</w:t>
      </w:r>
    </w:p>
    <w:p/>
    <w:p>
      <w:pPr>
        <w:pStyle w:val="Heading3"/>
        <w:spacing w:before="120" w:after="60"/>
      </w:pPr>
      <w:r>
        <w:rPr>
          <w:b/>
        </w:rPr>
        <w:t>Закон за държавните символи и девиза на републиката</w:t>
      </w:r>
    </w:p>
    <w:p>
      <w:pPr>
        <w:spacing w:after="60"/>
      </w:pPr>
      <w:r>
        <w:rPr>
          <w:b/>
        </w:rPr>
        <w:t>Година на приемане: 1952    Идентификационен номер: PU1952/003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Урежда официалните символи на новата държава.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Официалното знаме на републиката е в цветовете бяло, зелено и червено, обградени от син елемент, символизиращ морето и небето.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Държавният герб съдържа елементи на труда, индустрията, житния клас и държавното единство.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Официалният девиз на републиката е „Единство, Труд, Възход“.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Държавните символи се поставят на административни сгради, училища, съдилища, казарми и дипломатически представителства.</w:t>
      </w:r>
    </w:p>
    <w:p/>
    <w:p>
      <w:pPr>
        <w:pStyle w:val="Heading3"/>
        <w:spacing w:before="120" w:after="60"/>
      </w:pPr>
      <w:r>
        <w:rPr>
          <w:b/>
        </w:rPr>
        <w:t>Закон за Върховния конгрес на Република Пустиняково</w:t>
      </w:r>
    </w:p>
    <w:p>
      <w:pPr>
        <w:spacing w:after="60"/>
      </w:pPr>
      <w:r>
        <w:rPr>
          <w:b/>
        </w:rPr>
        <w:t>Година на приемане: 2022    Идентификационен номер: PU2022/001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Определя структурата и правомощията на парламента по новата демократична конституция.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Върховният конгрес е националният представителен и законодателен орган на Република Пустиняково.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Конгресът приема закони, ратифицира международни договори, одобрява държавния бюджет и упражнява парламентарен контрол върху Министерския съвет.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Заседанията на Конгреса са публични, освен когато със закон е предвидено закрито заседание по съображения за национална сигурност.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Народните представители не могат да бъдат задържани за политически изказвания и гласувания, освен при тежко престъпление по общия ред.</w:t>
      </w:r>
    </w:p>
    <w:p>
      <w:pPr>
        <w:spacing w:after="40"/>
        <w:ind w:left="170" w:hanging="170"/>
      </w:pPr>
      <w:r>
        <w:rPr>
          <w:b/>
        </w:rPr>
        <w:t xml:space="preserve">Чл. 5. </w:t>
      </w:r>
      <w:r>
        <w:t>Конгресът може да приема вот на недоверие към правителството по ред, определен в Конституцията и Изборния кодекс.</w:t>
      </w:r>
    </w:p>
    <w:p/>
    <w:p>
      <w:pPr>
        <w:pStyle w:val="Heading3"/>
        <w:spacing w:before="120" w:after="60"/>
      </w:pPr>
      <w:r>
        <w:rPr>
          <w:b/>
        </w:rPr>
        <w:t>Закон за президентството и Министерския съвет</w:t>
      </w:r>
    </w:p>
    <w:p>
      <w:pPr>
        <w:spacing w:after="60"/>
      </w:pPr>
      <w:r>
        <w:rPr>
          <w:b/>
        </w:rPr>
        <w:t>Година на приемане: 2023    Идентификационен номер: PU2023/001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Урежда отношенията между президента, правителството и администрацията в полупрезидентската система.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Президентът е държавен глава и гарант за конституционния ред, националната сигурност и международното представителство на Републиката.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Министерският съвет ръководи вътрешната политика, икономическото управление и изпълнението на законите.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Президентът възлага мандат за съставяне на правителство на кандидат, който може да осигури подкрепа във Върховния конгрес.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При невъзможност за съставяне на правителство президентът назначава служебен кабинет за ограничен срок до провеждане на избори или парламентарно мнозинство.</w:t>
      </w:r>
    </w:p>
    <w:p>
      <w:pPr>
        <w:spacing w:after="40"/>
        <w:ind w:left="170" w:hanging="170"/>
      </w:pPr>
      <w:r>
        <w:rPr>
          <w:b/>
        </w:rPr>
        <w:t xml:space="preserve">Чл. 5. </w:t>
      </w:r>
      <w:r>
        <w:t>Администрацията е длъжна да действа политически неутрално и в интерес на държавата, а не на отделна партия.</w:t>
      </w:r>
    </w:p>
    <w:p/>
    <w:p>
      <w:r>
        <w:br w:type="page"/>
      </w:r>
    </w:p>
    <w:p>
      <w:pPr>
        <w:pStyle w:val="Heading1"/>
      </w:pPr>
      <w:r>
        <w:t>Избори и политически партии</w:t>
      </w:r>
    </w:p>
    <w:p>
      <w:pPr>
        <w:pStyle w:val="Heading3"/>
        <w:spacing w:before="120" w:after="60"/>
      </w:pPr>
      <w:r>
        <w:rPr>
          <w:b/>
        </w:rPr>
        <w:t>Закон за първото Народно събрание и ограниченото представителство</w:t>
      </w:r>
    </w:p>
    <w:p>
      <w:pPr>
        <w:spacing w:after="60"/>
      </w:pPr>
      <w:r>
        <w:rPr>
          <w:b/>
        </w:rPr>
        <w:t>Година на приемане: 1990    Идентификационен номер: PU1990/001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контролиран преходен модел за участие на ограничена опозиция.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Учредява се Народно събрание с мнозинство от представители на ПКП и ограничен брой места за признати опозиционни формирования.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Право на участие имат политически движения, които признават териториалната цялост и конституционния ред на държавата.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Изборите се провеждат по мажоритарно-окръжен модел под контрола на Централна изборна комисия, назначена от президента.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Резултатите се обявяват публично и подлежат на проверка по ред, определен от Върховния съд.</w:t>
      </w:r>
    </w:p>
    <w:p/>
    <w:p>
      <w:pPr>
        <w:pStyle w:val="Heading3"/>
        <w:spacing w:before="120" w:after="60"/>
      </w:pPr>
      <w:r>
        <w:rPr>
          <w:b/>
        </w:rPr>
        <w:t>Закон за политическите партии</w:t>
      </w:r>
    </w:p>
    <w:p>
      <w:pPr>
        <w:spacing w:after="60"/>
      </w:pPr>
      <w:r>
        <w:rPr>
          <w:b/>
        </w:rPr>
        <w:t>Година на приемане: 2006    Идентификационен номер: PU2006/001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Регламентира регистрацията и дейността на партиите в периода на демократичните реформи.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Политическа партия може да се създаде от граждани на Република Пустиняково, обединени около програма, устав и публично ръководство.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Не се допуска регистрация на партия, която призовава към насилие, етническа омраза, религиозно преследване или въоръжен преврат.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Партиите подлежат на съдебна регистрация, финансова отчетност и ежегодно публикуване на източниците си на финансиране.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Държавни органи, армия, полиция и съдебна власт не могат да бъдат използвани за партийна дейност.</w:t>
      </w:r>
    </w:p>
    <w:p/>
    <w:p>
      <w:pPr>
        <w:pStyle w:val="Heading3"/>
        <w:spacing w:before="120" w:after="60"/>
      </w:pPr>
      <w:r>
        <w:rPr>
          <w:b/>
        </w:rPr>
        <w:t>Изборен кодекс на Република Пустиняково</w:t>
      </w:r>
    </w:p>
    <w:p>
      <w:pPr>
        <w:spacing w:after="60"/>
      </w:pPr>
      <w:r>
        <w:rPr>
          <w:b/>
        </w:rPr>
        <w:t>Година на приемане: 2022    Идентификационен номер: PU2022/002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Урежда президентските, парламентарните и местните избори след новата конституция.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Президентските избори се провеждат чрез пряко и тайно гласуване, като за избран се смята кандидатът, получил повече от половината действителни гласове.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Изборите за Върховен конгрес се провеждат при общо, равно и тайно избирателно право по смесена система, определена със закон.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Всяка секция се ръководи от секционна комисия, а надзорът се осъществява от Централната избирателна комисия.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Забраняват се сплашване на избиратели, присъствие на въоръжени лица в и около изборни секции и злоупотреба с административен ресурс.</w:t>
      </w:r>
    </w:p>
    <w:p>
      <w:pPr>
        <w:spacing w:after="40"/>
        <w:ind w:left="170" w:hanging="170"/>
      </w:pPr>
      <w:r>
        <w:rPr>
          <w:b/>
        </w:rPr>
        <w:t xml:space="preserve">Чл. 5. </w:t>
      </w:r>
      <w:r>
        <w:t>Резултатите могат да бъдат оспорвани пред Конституционния съд в кратки срокове, определени с този кодекс.</w:t>
      </w:r>
    </w:p>
    <w:p/>
    <w:p>
      <w:pPr>
        <w:pStyle w:val="Heading3"/>
        <w:spacing w:before="120" w:after="60"/>
      </w:pPr>
      <w:r>
        <w:rPr>
          <w:b/>
        </w:rPr>
        <w:t>Закон за Централната избирателна комисия</w:t>
      </w:r>
    </w:p>
    <w:p>
      <w:pPr>
        <w:spacing w:after="60"/>
      </w:pPr>
      <w:r>
        <w:rPr>
          <w:b/>
        </w:rPr>
        <w:t>Година на приемане: 2022    Идентификационен номер: PU2022/003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независим орган за организация и контрол на изборите.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Централната избирателна комисия е постоянен независим орган, който организира и контролира изборния процес.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Комисията утвърждава образци на бюлетини, методики за преброяване и правила за публично обявяване на резултатите.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Членовете на комисията се избират от Върховния конгрес с квалифицирано мнозинство и не могат да заемат партийни длъжности по време на мандата си.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Комисията е длъжна да публикува всички решения, протоколи и окончателни резултати в официален електронен регистър.</w:t>
      </w:r>
    </w:p>
    <w:p/>
    <w:p>
      <w:pPr>
        <w:pStyle w:val="Heading3"/>
        <w:spacing w:before="120" w:after="60"/>
      </w:pPr>
      <w:r>
        <w:rPr>
          <w:b/>
        </w:rPr>
        <w:t>Закон за временната защита на изборния процес</w:t>
      </w:r>
    </w:p>
    <w:p>
      <w:pPr>
        <w:spacing w:after="60"/>
      </w:pPr>
      <w:r>
        <w:rPr>
          <w:b/>
        </w:rPr>
        <w:t>Година на приемане: 2024    Идентификационен номер: PU2024/001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Приет след политическото насилие и военния натиск върху изборите през 2023–2024 г.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При наличие на данни за въоръжено сплашване, незаконно въздействие или масово нарушаване на избирателните права Централната избирателна комисия може да поиска отлагане на изборния ден в засегнат район.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Не се допуска присъствие на паравоенни формирования, въоръжени групи или неидентифицирани охранителни звена на по-малко от 500 метра от изборна секция.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Резултати, постигнати при доказано системно насилие, могат да бъдат частично или изцяло касирани от Конституционния съд.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Държавата осигурява специална защита за членове на изборни комисии, наблюдатели, журналисти и кандидати.</w:t>
      </w:r>
    </w:p>
    <w:p/>
    <w:p>
      <w:r>
        <w:br w:type="page"/>
      </w:r>
    </w:p>
    <w:p>
      <w:pPr>
        <w:pStyle w:val="Heading1"/>
      </w:pPr>
      <w:r>
        <w:t>Сигурност, армия и извънредни правомощия</w:t>
      </w:r>
    </w:p>
    <w:p>
      <w:pPr>
        <w:pStyle w:val="Heading3"/>
        <w:spacing w:before="120" w:after="60"/>
      </w:pPr>
      <w:r>
        <w:rPr>
          <w:b/>
        </w:rPr>
        <w:t>Закон за Пустиняшката народна армия</w:t>
      </w:r>
    </w:p>
    <w:p>
      <w:pPr>
        <w:spacing w:after="60"/>
      </w:pPr>
      <w:r>
        <w:rPr>
          <w:b/>
        </w:rPr>
        <w:t>Година на приемане: 1953    Идентификационен номер: PU1953/001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армията като централизирана въоръжена сила на държавата.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Пустиняшката народна армия е единната въоръжена сила на републиката и защитава суверенитета, границите и конституционния ред.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Армията се ръководи от върховния главнокомандващ при условията на Конституцията и законите.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Военнослужещите са длъжни да пазят политическа дисциплина, военна тайна и държавна лоялност.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Оръжие, боеприпаси и стратегическа техника се съхраняват само в обекти, одобрени от Министерството на отбраната.</w:t>
      </w:r>
    </w:p>
    <w:p/>
    <w:p>
      <w:pPr>
        <w:pStyle w:val="Heading3"/>
        <w:spacing w:before="120" w:after="60"/>
      </w:pPr>
      <w:r>
        <w:rPr>
          <w:b/>
        </w:rPr>
        <w:t>Закон за задължителната военна служба</w:t>
      </w:r>
    </w:p>
    <w:p>
      <w:pPr>
        <w:spacing w:after="60"/>
      </w:pPr>
      <w:r>
        <w:rPr>
          <w:b/>
        </w:rPr>
        <w:t>Година на приемане: 1984    Идентификационен номер: PU1984/001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Въвежда задължителна двугодишна военна служба.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Всички мъже, навършили 18 години, подлежат на задължителна военна служба с продължителност две години, освен в случаите, предвидени със закон.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Службата има за цел отбраната на държавата, придобиването на военна подготовка и изграждането на дисциплина и гражданска отговорност.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Освобождаване или отлагане се допуска по здравословни причини, семейни обстоятелства или обучение при условия, определени от Министерския съвет.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Лица, които укриват военна служба, носят административна или наказателна отговорност.</w:t>
      </w:r>
    </w:p>
    <w:p/>
    <w:p>
      <w:pPr>
        <w:pStyle w:val="Heading3"/>
        <w:spacing w:before="120" w:after="60"/>
      </w:pPr>
      <w:r>
        <w:rPr>
          <w:b/>
        </w:rPr>
        <w:t>Закон за националната сигурност</w:t>
      </w:r>
    </w:p>
    <w:p>
      <w:pPr>
        <w:spacing w:after="60"/>
      </w:pPr>
      <w:r>
        <w:rPr>
          <w:b/>
        </w:rPr>
        <w:t>Година на приемане: 2015    Идентификационен номер: PU2015/001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Консолидира правомощията на службите след „червения преврат“.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Националната сигурност включва защитата на държавния строй, обществената стабилност, стратегическата инфраструктура и отбранителната способност на страната.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Създава се Национален съвет по сигурността към президента с участие на правителството, армията и специалните служби.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Службите за сигурност могат да събират информация за дейности, насочени към насилствена промяна на конституционния ред, тероризъм и чуждестранно подривно влияние.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Ограничения на права в интерес на сигурността се допускат само със закон, за определен срок и при съдебен контрол, освен в изрично предвидено извънредно положение.</w:t>
      </w:r>
    </w:p>
    <w:p/>
    <w:p>
      <w:pPr>
        <w:pStyle w:val="Heading3"/>
        <w:spacing w:before="120" w:after="60"/>
      </w:pPr>
      <w:r>
        <w:rPr>
          <w:b/>
        </w:rPr>
        <w:t>Закон за военното извънредно управление</w:t>
      </w:r>
    </w:p>
    <w:p>
      <w:pPr>
        <w:spacing w:after="60"/>
      </w:pPr>
      <w:r>
        <w:rPr>
          <w:b/>
        </w:rPr>
        <w:t>Година на приемане: 2023    Идентификационен номер: PU2023/002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Дава рамка на извънредния режим, въведен през август 2023 г.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Военно извънредно управление може да бъде обявено само при въоръжено въстание, масов тероризъм, чужда въоръжена агресия или пълно блокиране на държавните институции.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 указа за извънредно управление се определят териториалният обхват, срокът, конкретните ограничения и отговорните органи.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Не се допуска безсрочно затваряне на парламента, съдилищата и прокуратурата без последващо одобрение от Върховния конгрес.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Използването на армия срещу цивилно население е допустимо само като крайна мярка за защита на живот и инфраструктура, при строга необходимост и последваща проверка.</w:t>
      </w:r>
    </w:p>
    <w:p>
      <w:pPr>
        <w:spacing w:after="40"/>
        <w:ind w:left="170" w:hanging="170"/>
      </w:pPr>
      <w:r>
        <w:rPr>
          <w:b/>
        </w:rPr>
        <w:t xml:space="preserve">Чл. 5. </w:t>
      </w:r>
      <w:r>
        <w:t>Заповеди за удари срещу жилищни райони, места за поклонение, болници и училища са нищожни и не пораждат задължение за изпълнение.</w:t>
      </w:r>
    </w:p>
    <w:p/>
    <w:p>
      <w:pPr>
        <w:pStyle w:val="Heading3"/>
        <w:spacing w:before="120" w:after="60"/>
      </w:pPr>
      <w:r>
        <w:rPr>
          <w:b/>
        </w:rPr>
        <w:t>Закон за гражданската защита и противоракетната отбрана</w:t>
      </w:r>
    </w:p>
    <w:p>
      <w:pPr>
        <w:spacing w:after="60"/>
      </w:pPr>
      <w:r>
        <w:rPr>
          <w:b/>
        </w:rPr>
        <w:t>Година на приемане: 2024    Идентификационен номер: PU2024/002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Приет в отговор на ракетните удари и гражданската война.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Държавата изгражда система за ранно предупреждение, убежища, евакуационни коридори и координирана гражданска защита при ракетни и въздушни атаки.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Местните власти са длъжни да поддържат актуални планове за защита на населението, критичната инфраструктура и резервите от храни, вода и лекарства.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Противоракетната отбрана се задейства по ред, определен от Министерството на отбраната, при спазване на международното хуманитарно право.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Всеки гражданин има право на достъп до официална информация за непосредствена опасност, място за укритие и безопасен маршрут за евакуация.</w:t>
      </w:r>
    </w:p>
    <w:p/>
    <w:p>
      <w:r>
        <w:br w:type="page"/>
      </w:r>
    </w:p>
    <w:p>
      <w:pPr>
        <w:pStyle w:val="Heading1"/>
      </w:pPr>
      <w:r>
        <w:t>Съдебна власт и прокуратура</w:t>
      </w:r>
    </w:p>
    <w:p>
      <w:pPr>
        <w:pStyle w:val="Heading3"/>
        <w:spacing w:before="120" w:after="60"/>
      </w:pPr>
      <w:r>
        <w:rPr>
          <w:b/>
        </w:rPr>
        <w:t>Закон за народните съдилища и държавното обвинение</w:t>
      </w:r>
    </w:p>
    <w:p>
      <w:pPr>
        <w:spacing w:after="60"/>
      </w:pPr>
      <w:r>
        <w:rPr>
          <w:b/>
        </w:rPr>
        <w:t>Година на приемане: 1952    Идентификационен номер: PU1952/004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ранната съдебна система на НРП.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Правосъдието в Народна Република Пустиняково се осъществява от народни съдилища, окръжни съдилища и върховен съд.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Държавното обвинение следи за спазването на законността, защитава държавния интерес и поддържа обвинението по наказателни дела.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Съдии и прокурори се назначават по ред, определен от държавата, и полагат клетва за вярност към Конституцията и републиката.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Процесът е публичен, освен когато законът изисква закрито заседание по причини на сигурността, непълнолетие или държавна тайна.</w:t>
      </w:r>
    </w:p>
    <w:p/>
    <w:p>
      <w:pPr>
        <w:pStyle w:val="Heading3"/>
        <w:spacing w:before="120" w:after="60"/>
      </w:pPr>
      <w:r>
        <w:rPr>
          <w:b/>
        </w:rPr>
        <w:t>Закон за съдебната реформа</w:t>
      </w:r>
    </w:p>
    <w:p>
      <w:pPr>
        <w:spacing w:after="60"/>
      </w:pPr>
      <w:r>
        <w:rPr>
          <w:b/>
        </w:rPr>
        <w:t>Година на приемане: 2006    Идентификационен номер: PU2006/002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Въвежда основни демократични принципи в правосъдието след реформите на Кирков.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Съдебната власт е независима и се подчинява единствено на Конституцията и закона.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Създава се Висш съдебен съвет като орган за назначаване, повишаване и дисциплинарна отговорност на съдиите и прокурорите.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Никой орган на изпълнителната или законодателната власт не може да дава указания по конкретни дела.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Всеки обвиняем има право на защита, адвокат, справедлив срок и безпристрастен съд.</w:t>
      </w:r>
    </w:p>
    <w:p/>
    <w:p>
      <w:pPr>
        <w:pStyle w:val="Heading3"/>
        <w:spacing w:before="120" w:after="60"/>
      </w:pPr>
      <w:r>
        <w:rPr>
          <w:b/>
        </w:rPr>
        <w:t>Закон за прокуратурата на Република Пустиняково</w:t>
      </w:r>
    </w:p>
    <w:p>
      <w:pPr>
        <w:spacing w:after="60"/>
      </w:pPr>
      <w:r>
        <w:rPr>
          <w:b/>
        </w:rPr>
        <w:t>Година на приемане: 2022    Идентификационен номер: PU2022/004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Регламентира прокуратурата след новата конституция.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Прокуратурата следи за спазването на закона, ръководи наказателното преследване и защитава обществения интерес.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Главният прокурор се избира с квалифицирано мнозинство от Върховния конгрес след публично изслушване и мандатът му е ограничен.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Прокурорите не могат да изпълняват политически инструкции и са длъжни да мотивират писмено всички откази за образуване и прекратяване на производства.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Незаконна намеса в дейността на прокуратурата се наказва по реда на Наказателния кодекс.</w:t>
      </w:r>
    </w:p>
    <w:p/>
    <w:p>
      <w:pPr>
        <w:pStyle w:val="Heading3"/>
        <w:spacing w:before="120" w:after="60"/>
      </w:pPr>
      <w:r>
        <w:rPr>
          <w:b/>
        </w:rPr>
        <w:t>Закон за възстановяване на съдебната независимост</w:t>
      </w:r>
    </w:p>
    <w:p>
      <w:pPr>
        <w:spacing w:after="60"/>
      </w:pPr>
      <w:r>
        <w:rPr>
          <w:b/>
        </w:rPr>
        <w:t>Година на приемане: 2024    Идентификационен номер: PU2024/003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Приет след концентрацията на власт и зависимостта на институциите през 2023 г.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Всички назначения на висши съдебни длъжности, извършени в нарушение на Конституцията, подлежат на преразглеждане от временна комисия за институционална законност.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Съдилищата и прокуратурата възобновяват дейността си незабавно след отпадане на извънредните ограничения.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Решения, постановени под пряка политическа принуда, могат да бъдат атакувани по извънреден ред.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Създава се публичен регистър на отменените извънредни актове, засягащи независимостта на съдебната власт.</w:t>
      </w:r>
    </w:p>
    <w:p/>
    <w:p>
      <w:r>
        <w:br w:type="page"/>
      </w:r>
    </w:p>
    <w:p>
      <w:pPr>
        <w:pStyle w:val="Heading1"/>
      </w:pPr>
      <w:r>
        <w:t>Вътрешен ред, полиция и администрация</w:t>
      </w:r>
    </w:p>
    <w:p>
      <w:pPr>
        <w:pStyle w:val="Heading3"/>
        <w:spacing w:before="120" w:after="60"/>
      </w:pPr>
      <w:r>
        <w:rPr>
          <w:b/>
        </w:rPr>
        <w:t>Закон за народната милиция</w:t>
      </w:r>
    </w:p>
    <w:p>
      <w:pPr>
        <w:spacing w:after="60"/>
      </w:pPr>
      <w:r>
        <w:rPr>
          <w:b/>
        </w:rPr>
        <w:t>Година на приемане: 1953    Идентификационен номер: PU1953/002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орган за вътрешен ред в ранния социалистически период.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Народната милиция охранява обществения ред, държавната собственост и спокойствието на гражданите.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Милицията има право да проверява самоличност, да задържа лица при очевидно нарушение и да осигурява изпълнение на законни разпореждания.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Употребата на сила е допустима само когато е необходима за преустановяване на нарушение, защита на живот или задържане на опасно лице.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Всяко задържано лице има право да бъде вписано в регистър и да бъде уведомено за причината за задържането.</w:t>
      </w:r>
    </w:p>
    <w:p/>
    <w:p>
      <w:pPr>
        <w:pStyle w:val="Heading3"/>
        <w:spacing w:before="120" w:after="60"/>
      </w:pPr>
      <w:r>
        <w:rPr>
          <w:b/>
        </w:rPr>
        <w:t>Закон за Министерството на вътрешните работи</w:t>
      </w:r>
    </w:p>
    <w:p>
      <w:pPr>
        <w:spacing w:after="60"/>
      </w:pPr>
      <w:r>
        <w:rPr>
          <w:b/>
        </w:rPr>
        <w:t>Година на приемане: 2006    Идентификационен номер: PU2006/003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Преурежда силовата система в демократичния период.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Министерството на вътрешните работи осъществява защита на обществения ред, противодействие на престъпността и координация при кризи.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Полицията е гражданска служба и не може да участва в партийна дейност или да изпълнява политически задачи извън закона.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Задържането над 24 часа се допуска само по съдебен ред, освен в случаите на тежко престъпление, предвидени в закона.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Министерството публикува годишен отчет за употребата на сила, задържанията и дисциплинарните производства.</w:t>
      </w:r>
    </w:p>
    <w:p/>
    <w:p>
      <w:pPr>
        <w:pStyle w:val="Heading3"/>
        <w:spacing w:before="120" w:after="60"/>
      </w:pPr>
      <w:r>
        <w:rPr>
          <w:b/>
        </w:rPr>
        <w:t>Закон за държавната администрация</w:t>
      </w:r>
    </w:p>
    <w:p>
      <w:pPr>
        <w:spacing w:after="60"/>
      </w:pPr>
      <w:r>
        <w:rPr>
          <w:b/>
        </w:rPr>
        <w:t>Година на приемане: 2023    Идентификационен номер: PU2023/003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общи правила за работа на цивилната администрация.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Държавната администрация служи на гражданите, прилага закона и осигурява непрекъсваемост на държавното управление.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Назначенията се извършват по професионални критерии, освен за политически кабинети и изборни длъжности.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Всеки административен акт трябва да бъде писмен, мотивиран и подлежащ на обжалване.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Служител, изпълнил очевидно незаконна заповед, носи отговорност по реда на закона.</w:t>
      </w:r>
    </w:p>
    <w:p/>
    <w:p>
      <w:r>
        <w:br w:type="page"/>
      </w:r>
    </w:p>
    <w:p>
      <w:pPr>
        <w:pStyle w:val="Heading1"/>
      </w:pPr>
      <w:r>
        <w:t>Образование, наука и култура</w:t>
      </w:r>
    </w:p>
    <w:p>
      <w:pPr>
        <w:pStyle w:val="Heading3"/>
        <w:spacing w:before="120" w:after="60"/>
      </w:pPr>
      <w:r>
        <w:rPr>
          <w:b/>
        </w:rPr>
        <w:t>Закон за задължителното начално и средно образование</w:t>
      </w:r>
    </w:p>
    <w:p>
      <w:pPr>
        <w:spacing w:after="60"/>
      </w:pPr>
      <w:r>
        <w:rPr>
          <w:b/>
        </w:rPr>
        <w:t>Година на приемане: 1948    Идентификационен номер: PU1948/001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Въвежда универсално обучение в периода на изграждане на основите на държавността.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Началното образование е задължително за всички деца на територията на Пустиняково.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Държавата създава училища, назначава учители и осигурява учебен минимум според материалните възможности на републиката.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Средното образование се развива поетапно и включва общообразователна, техническа и педагогическа подготовка.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Обучението следва да насърчава грамотност, дисциплина, колективност и уважение към държавата.</w:t>
      </w:r>
    </w:p>
    <w:p/>
    <w:p>
      <w:pPr>
        <w:pStyle w:val="Heading3"/>
        <w:spacing w:before="120" w:after="60"/>
      </w:pPr>
      <w:r>
        <w:rPr>
          <w:b/>
        </w:rPr>
        <w:t>Закон за народното образование</w:t>
      </w:r>
    </w:p>
    <w:p>
      <w:pPr>
        <w:spacing w:after="60"/>
      </w:pPr>
      <w:r>
        <w:rPr>
          <w:b/>
        </w:rPr>
        <w:t>Година на приемане: 1965    Идентификационен номер: PU1965/001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Систематизира училищното образование през периода на индустриализация.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Образованието е държавна функция и се организира чрез единна национална система от детски градини, училища, техникуми и висши институти.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Учебното съдържание включва общи знания, производствена подготовка, физическо възпитание и гражданско възпитание.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Държавата насърчава технически специалности, минно дело, енергетика, транспорт и индустриално управление.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Културните институции, читалищата и библиотеките подпомагат образователната мисия на училището.</w:t>
      </w:r>
    </w:p>
    <w:p/>
    <w:p>
      <w:pPr>
        <w:pStyle w:val="Heading3"/>
        <w:spacing w:before="120" w:after="60"/>
      </w:pPr>
      <w:r>
        <w:rPr>
          <w:b/>
        </w:rPr>
        <w:t>Закон за Националния пустиняшки университет</w:t>
      </w:r>
    </w:p>
    <w:p>
      <w:pPr>
        <w:spacing w:after="60"/>
      </w:pPr>
      <w:r>
        <w:rPr>
          <w:b/>
        </w:rPr>
        <w:t>Година на приемане: 1968    Идентификационен номер: PU1968/001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Учредява основния университетски център на страната.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Създава се Национален пустиняшки университет като висше държавно училище за подготовка на специалисти в областта на правото, икономиката, педагогиката, инженерството и политическите науки.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Университетът има правото да създава факултети, научни институти, архиви и издателство.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Ректорът се избира по ред, определен в устава на университета, и се утвърждава от държавния орган, посочен в закона.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Научната дейност следва да подпомага развитието на държавата, индустрията и обществото.</w:t>
      </w:r>
    </w:p>
    <w:p/>
    <w:p>
      <w:pPr>
        <w:pStyle w:val="Heading3"/>
        <w:spacing w:before="120" w:after="60"/>
      </w:pPr>
      <w:r>
        <w:rPr>
          <w:b/>
        </w:rPr>
        <w:t>Закон за академичната автономия и свободата на преподаване</w:t>
      </w:r>
    </w:p>
    <w:p>
      <w:pPr>
        <w:spacing w:after="60"/>
      </w:pPr>
      <w:r>
        <w:rPr>
          <w:b/>
        </w:rPr>
        <w:t>Година на приемане: 2024    Идентификационен номер: PU2024/004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Възстановява университетската автономия след политическите кризи.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Висшите училища имат академична автономия при разработване на учебни планове, избор на ръководство и научни приоритети.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Не се допуска политическо преследване на преподаватели, студенти и изследователи заради законно изразено мнение или научна позиция.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Държавата гарантира институционална защита на архиви, библиотеки, лаборатории и университетски кампуси по време на криза или извънредно положение.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Университетите могат да сътрудничат свободно с чуждестранни академични институции при спазване на закона.</w:t>
      </w:r>
    </w:p>
    <w:p/>
    <w:p>
      <w:r>
        <w:br w:type="page"/>
      </w:r>
    </w:p>
    <w:p>
      <w:pPr>
        <w:pStyle w:val="Heading1"/>
      </w:pPr>
      <w:r>
        <w:t>Икономика, индустрия и стратегическа инфраструктура</w:t>
      </w:r>
    </w:p>
    <w:p>
      <w:pPr>
        <w:pStyle w:val="Heading3"/>
        <w:spacing w:before="120" w:after="60"/>
      </w:pPr>
      <w:r>
        <w:rPr>
          <w:b/>
        </w:rPr>
        <w:t>Закон за колективната собственост върху земята и мините</w:t>
      </w:r>
    </w:p>
    <w:p>
      <w:pPr>
        <w:spacing w:after="60"/>
      </w:pPr>
      <w:r>
        <w:rPr>
          <w:b/>
        </w:rPr>
        <w:t>Година на приемане: 1952    Идентификационен номер: PU1952/005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Урежда обществената собственост върху земя, мини и ключови ресурси.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Земята, подземните богатства, мините и големите производствени мощности са обществена собственост и се управляват в интерес на народа.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Дребни стопанства за лична употреба се допускат в размер и по ред, определени от Министерския съвет.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Ползването на земята следва държавен план за производство, енергийно снабдяване и продоволствена сигурност.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Отчуждаване за държавни нужди се извършва със закон и с обезщетение, когато такова е приложимо.</w:t>
      </w:r>
    </w:p>
    <w:p/>
    <w:p>
      <w:pPr>
        <w:pStyle w:val="Heading3"/>
        <w:spacing w:before="120" w:after="60"/>
      </w:pPr>
      <w:r>
        <w:rPr>
          <w:b/>
        </w:rPr>
        <w:t>Закон за държавната индустриализация</w:t>
      </w:r>
    </w:p>
    <w:p>
      <w:pPr>
        <w:spacing w:after="60"/>
      </w:pPr>
      <w:r>
        <w:rPr>
          <w:b/>
        </w:rPr>
        <w:t>Година на приемане: 1965    Идентификационен номер: PU1965/002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Осигурява правната рамка за големите индустриални проекти на страната.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Държавата планира и изгражда стратегически промишлени комплекси в областите на металургията, енергетиката, транспорта и машиностроенето.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Предприятия от национално значение могат да бъдат обявявани за приоритетни и да получават централизирано снабдяване, трудови ресурси и бюджетно финансиране.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Индустриалните проекти се изграждат в съответствие с държавния план и с оглед дългосрочното икономическо развитие на страната.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Ръководителите на държавни предприятия носят материална и дисциплинарна отговорност за злоупотреби, разхищение и саботаж.</w:t>
      </w:r>
    </w:p>
    <w:p/>
    <w:p>
      <w:pPr>
        <w:pStyle w:val="Heading3"/>
        <w:spacing w:before="120" w:after="60"/>
      </w:pPr>
      <w:r>
        <w:rPr>
          <w:b/>
        </w:rPr>
        <w:t>Закон за масовата приватизация и частната собственост</w:t>
      </w:r>
    </w:p>
    <w:p>
      <w:pPr>
        <w:spacing w:after="60"/>
      </w:pPr>
      <w:r>
        <w:rPr>
          <w:b/>
        </w:rPr>
        <w:t>Година на приемане: 2001    Идентификационен номер: PU2001/001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Открива периода на либерализация и прехвърляне на активи в частни ръце.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Държавни предприятия могат да бъдат приватизирани чрез продажба, концесия, смесено дружество или публичен конкурс.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Стратегически отрасли могат да се приватизират само след решение на Народното събрание и оценка за въздействие върху националната сигурност.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Всеки договор за приватизация се публикува в официален регистър, освен частите, представляващи защитена търговска тайна по закон.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Сделки, сключени при измама, конфликт на интереси или симулативна конкуренция, са унищожаеми по съдебен ред.</w:t>
      </w:r>
    </w:p>
    <w:p/>
    <w:p>
      <w:pPr>
        <w:pStyle w:val="Heading3"/>
        <w:spacing w:before="120" w:after="60"/>
      </w:pPr>
      <w:r>
        <w:rPr>
          <w:b/>
        </w:rPr>
        <w:t>Закон за стратегическите предприятия и критичната инфраструктура</w:t>
      </w:r>
    </w:p>
    <w:p>
      <w:pPr>
        <w:spacing w:after="60"/>
      </w:pPr>
      <w:r>
        <w:rPr>
          <w:b/>
        </w:rPr>
        <w:t>Година на приемане: 2024    Идентификационен номер: PU2024/005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Въвежда специална защита на ТЕЦ, пристанища, нефтени бази и магистрали след ударите през 2024 г.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За стратегически предприятия се считат енергийни централи, минни комплекси, големи пристанища, нефтени складове, железопътни възли и основни автомагистрали.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Собствеността върху стратегическо предприятие подлежи на предварителен контрол за сигурност независимо дали е държавна, общинска или частна.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При военна или хибридна заплаха държавата може временно да поеме оперативен контрол върху стратегическо предприятие срещу справедливо обезщетение.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Разрушаването или умишленото блокиране на критична инфраструктура се преследва като тежко престъпление.</w:t>
      </w:r>
    </w:p>
    <w:p/>
    <w:p>
      <w:pPr>
        <w:pStyle w:val="Heading3"/>
        <w:spacing w:before="120" w:after="60"/>
      </w:pPr>
      <w:r>
        <w:rPr>
          <w:b/>
        </w:rPr>
        <w:t>Закон за автомагистралите и националните транспортни коридори</w:t>
      </w:r>
    </w:p>
    <w:p>
      <w:pPr>
        <w:spacing w:after="60"/>
      </w:pPr>
      <w:r>
        <w:rPr>
          <w:b/>
        </w:rPr>
        <w:t>Година на приемане: 1982    Идентификационен номер: PU1982/001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Регламентира изграждането и защитата на основните пътни артерии.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Автомагистралите „Тракия“ и „Хемус“, както и другите национални транспортни коридори, са обекти от първостепенно държавно значение.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Изграждането, поддръжката и охраната на националните коридори се финансират от държавния бюджет и специални инфраструктурни фондове.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Незаконното възпрепятстване, разрушаване или саботаж на транспортен коридор се наказва с повишена строгост.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Министерството на транспорта изготвя многогодишен план за свързаност между столицата, индустриалните центрове и морския излаз.</w:t>
      </w:r>
    </w:p>
    <w:p/>
    <w:p>
      <w:r>
        <w:br w:type="page"/>
      </w:r>
    </w:p>
    <w:p>
      <w:pPr>
        <w:pStyle w:val="Heading1"/>
      </w:pPr>
      <w:r>
        <w:t>Енергетика и публични ресурси</w:t>
      </w:r>
    </w:p>
    <w:p>
      <w:pPr>
        <w:pStyle w:val="Heading3"/>
        <w:spacing w:before="120" w:after="60"/>
      </w:pPr>
      <w:r>
        <w:rPr>
          <w:b/>
        </w:rPr>
        <w:t>Закон за единната енергийна система</w:t>
      </w:r>
    </w:p>
    <w:p>
      <w:pPr>
        <w:spacing w:after="60"/>
      </w:pPr>
      <w:r>
        <w:rPr>
          <w:b/>
        </w:rPr>
        <w:t>Година на приемане: 1965    Идентификационен номер: PU1965/003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централизирана рамка за производство и разпределение на енергия.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Производството, преносът и разпределението на електрическа енергия се организират в единна държавна система.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ТЕЦ, мини, подстанции и магистрални електропроводи се координират по национален план за сигурност на снабдяването.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При недостиг на енергия държавата може временно да въведе режим на потребление по прозрачен и публикуван ред.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Злоупотребата с енергийни ресурси и умишленото повреждане на енергийна инфраструктура подлежат на тежка отговорност.</w:t>
      </w:r>
    </w:p>
    <w:p/>
    <w:p>
      <w:pPr>
        <w:pStyle w:val="Heading3"/>
        <w:spacing w:before="120" w:after="60"/>
      </w:pPr>
      <w:r>
        <w:rPr>
          <w:b/>
        </w:rPr>
        <w:t>Закон за енергийния резерв и държавните запаси</w:t>
      </w:r>
    </w:p>
    <w:p>
      <w:pPr>
        <w:spacing w:after="60"/>
      </w:pPr>
      <w:r>
        <w:rPr>
          <w:b/>
        </w:rPr>
        <w:t>Година на приемане: 2024    Идентификационен номер: PU2024/006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Приет след прекъсванията на тока и спора около държавния хранителен и енергиен резерв.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Държавата поддържа резерви от гориво, въглища, газ, резервни части и критични консумативи за защита на енергийната система.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Резервът може да бъде отварян само по решение на президента или Министерския съвет при криза, война, бедствие или масов недостиг.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Отказът за използване на резерв при доказана заплаха за живота и здравето на населението подлежи на парламентарен и съдебен контрол.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Информацията за обема и състоянието на резерва се класифицира частично, но общите отчети се представят ежегодно на Върховния конгрес.</w:t>
      </w:r>
    </w:p>
    <w:p/>
    <w:p>
      <w:r>
        <w:br w:type="page"/>
      </w:r>
    </w:p>
    <w:p>
      <w:pPr>
        <w:pStyle w:val="Heading1"/>
      </w:pPr>
      <w:r>
        <w:t>Медии, информация и обществен дебат</w:t>
      </w:r>
    </w:p>
    <w:p>
      <w:pPr>
        <w:pStyle w:val="Heading3"/>
        <w:spacing w:before="120" w:after="60"/>
      </w:pPr>
      <w:r>
        <w:rPr>
          <w:b/>
        </w:rPr>
        <w:t>Закон за държавната преса и радиоразпръскването</w:t>
      </w:r>
    </w:p>
    <w:p>
      <w:pPr>
        <w:spacing w:after="60"/>
      </w:pPr>
      <w:r>
        <w:rPr>
          <w:b/>
        </w:rPr>
        <w:t>Година на приемане: 1958    Идентификационен номер: PU1958/001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Създава ранната рамка за централизирани медии.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Печатните издания и радиоразпръскването от национално значение се организират под държавен контрол.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Медиите следва да подпомагат общественото възпитание, културното развитие и националното единство.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Публикуването на военни, стратегически и държавни тайни без разрешение е забранено.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Редакционната политика на държавните медии се утвърждава от компетентния държавен орган.</w:t>
      </w:r>
    </w:p>
    <w:p/>
    <w:p>
      <w:pPr>
        <w:pStyle w:val="Heading3"/>
        <w:spacing w:before="120" w:after="60"/>
      </w:pPr>
      <w:r>
        <w:rPr>
          <w:b/>
        </w:rPr>
        <w:t>Закон за свободата на медиите и обществената информация</w:t>
      </w:r>
    </w:p>
    <w:p>
      <w:pPr>
        <w:spacing w:after="60"/>
      </w:pPr>
      <w:r>
        <w:rPr>
          <w:b/>
        </w:rPr>
        <w:t>Година на приемане: 2006    Идентификационен номер: PU2006/004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Гарантира медийна свобода в демократичния период.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Медиите са свободни и не подлежат на предварителна цензура, освен в случаите, изрично предвидени в закона за защита на националната сигурност и неприкосновеността на личния живот.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Всеки гражданин има право да търси, получава и разпространява информация по законен начин.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Държавните органи са длъжни да предоставят обществена информация, освен когато тя представлява държавна тайна, лични данни или защитена търговска информация.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Посегателство, заплаха или насилие срещу журналист във връзка с професионалната му дейност се преследва по реда на закона.</w:t>
      </w:r>
    </w:p>
    <w:p/>
    <w:p>
      <w:pPr>
        <w:pStyle w:val="Heading3"/>
        <w:spacing w:before="120" w:after="60"/>
      </w:pPr>
      <w:r>
        <w:rPr>
          <w:b/>
        </w:rPr>
        <w:t>Закон за защита на обществения дебат от военна и паравоенна пропаганда</w:t>
      </w:r>
    </w:p>
    <w:p>
      <w:pPr>
        <w:spacing w:after="60"/>
      </w:pPr>
      <w:r>
        <w:rPr>
          <w:b/>
        </w:rPr>
        <w:t>Година на приемане: 2024    Идентификационен номер: PU2024/007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Ограничителен, но защитен закон след радикализацията и ролята на паравоенните групи.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Не се допуска пряко подбуждане към масово насилие, етническо прочистване, религиозно преследване или въоръжен преврат чрез медии, платформи и публични събития.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Организирана пропаганда от името на незаконни паравоенни формирования подлежи на незабавно ограничаване по съдебен ред.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Всяка мярка по този закон трябва да бъде мотивирана, пропорционална и подлежаща на бързо съдебно обжалване.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Критика към правителството, държавните институции и политическите партии не може да се квалифицира като враждебна пропаганда сама по себе си.</w:t>
      </w:r>
    </w:p>
    <w:p/>
    <w:p>
      <w:r>
        <w:br w:type="page"/>
      </w:r>
    </w:p>
    <w:p>
      <w:pPr>
        <w:pStyle w:val="Heading1"/>
      </w:pPr>
      <w:r>
        <w:t>Права, свободи и вероизповедания</w:t>
      </w:r>
    </w:p>
    <w:p>
      <w:pPr>
        <w:pStyle w:val="Heading3"/>
        <w:spacing w:before="120" w:after="60"/>
      </w:pPr>
      <w:r>
        <w:rPr>
          <w:b/>
        </w:rPr>
        <w:t>Закон за основните граждански права</w:t>
      </w:r>
    </w:p>
    <w:p>
      <w:pPr>
        <w:spacing w:after="60"/>
      </w:pPr>
      <w:r>
        <w:rPr>
          <w:b/>
        </w:rPr>
        <w:t>Година на приемане: 2006    Идентификационен номер: PU2006/005</w:t>
      </w:r>
    </w:p>
    <w:p>
      <w:pPr>
        <w:spacing w:after="60"/>
      </w:pPr>
      <w:r>
        <w:rPr>
          <w:b/>
        </w:rPr>
        <w:t xml:space="preserve">Предмет на закона: </w:t>
      </w:r>
      <w:r>
        <w:t>Формулира базов каталог от граждански права в периода на либерализация.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Всеки гражданин има право на живот, лична сигурност, свобода на изразяване, свобода на събранията и защита на собствеността.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Никой не може да бъде задържан, преследван или наказван без законово основание и без справедлив процес.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Гражданите са равни пред закона независимо от произход, религия, език, политически убеждения или социално положение.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Ограничения на права се допускат само когато са установени със закон и са необходими за защита на други права, обществения ред или националната сигурност.</w:t>
      </w:r>
    </w:p>
    <w:p/>
    <w:p>
      <w:pPr>
        <w:pStyle w:val="Heading3"/>
        <w:spacing w:before="120" w:after="60"/>
      </w:pPr>
      <w:r>
        <w:rPr>
          <w:b/>
        </w:rPr>
        <w:t>Закон за вероизповеданията</w:t>
      </w:r>
    </w:p>
    <w:p>
      <w:pPr>
        <w:spacing w:after="60"/>
      </w:pPr>
      <w:r>
        <w:rPr>
          <w:b/>
        </w:rPr>
        <w:t>Година на приемане: 2022    Идентификационен номер: PU2022/005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Гарантира свобода на религията след новата конституция.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В Република Пустиняково се гарантира свободата на съвестта и вероизповеданието.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Религиозните общности се регистрират по съдебен ред и имат право свободно да организират богослужение, обучение и вътрешно управление.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Не се допуска привилегировано или дискриминационно третиране на граждани по религиозен признак.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Забранява се използването на религията за призив към насилие, въоръжено противопоставяне или лишаване на други граждани от права.</w:t>
      </w:r>
    </w:p>
    <w:p/>
    <w:p>
      <w:pPr>
        <w:pStyle w:val="Heading3"/>
        <w:spacing w:before="120" w:after="60"/>
      </w:pPr>
      <w:r>
        <w:rPr>
          <w:b/>
        </w:rPr>
        <w:t>Закон за защита на човешките права</w:t>
      </w:r>
    </w:p>
    <w:p>
      <w:pPr>
        <w:spacing w:after="60"/>
      </w:pPr>
      <w:r>
        <w:rPr>
          <w:b/>
        </w:rPr>
        <w:t>Година на приемане: 2024    Идентификационен номер: PU2024/008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Възстановява и институционализира защитата на правата след преследванията и насилието.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Създава се Комисия за защита на човешките права като независим орган за наблюдение, препоръки и сезиране на компетентните власти.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Лица, пострадали от незаконно насилие, дискриминация, политическо преследване или религиозни ограничения, имат право на защита, обезщетение и възстановяване на правния си статус.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Органите на реда, армията и администрацията са длъжни да съдействат на комисията и да предоставят исканите документи, освен когато законът предвижда ограничение, подлежащо на съдебен контрол.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Военни, извънредни и административни актове, противоречащи на основните права, могат да бъдат оспорвани пред съд.</w:t>
      </w:r>
    </w:p>
    <w:p/>
    <w:p>
      <w:pPr>
        <w:pStyle w:val="Heading3"/>
        <w:spacing w:before="120" w:after="60"/>
      </w:pPr>
      <w:r>
        <w:rPr>
          <w:b/>
        </w:rPr>
        <w:t>Закон за защита на религиозните и етническите общности</w:t>
      </w:r>
    </w:p>
    <w:p>
      <w:pPr>
        <w:spacing w:after="60"/>
      </w:pPr>
      <w:r>
        <w:rPr>
          <w:b/>
        </w:rPr>
        <w:t>Година на приемане: 2024    Идентификационен номер: PU2024/009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Приет в отговор на преследването на мюсюлманските общности и конфликта около Банкя.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Държавата гарантира равна защита на всички религиозни и етнически общности на своята територия.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Забраняват се кампании за насилствено изселване, ограничаване на достъпа до жилище, образование, труд или богослужение по признак религия или етнически произход.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Нападения срещу квартали, религиозни сгради, общностни центрове и мирни живи вериги за защита на населението се преследват като квалифицирани престъпления.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Правителството приема специални програми за възстановяване на пострадали общности и насърчаване на междуобщностния мир.</w:t>
      </w:r>
    </w:p>
    <w:p/>
    <w:p>
      <w:r>
        <w:br w:type="page"/>
      </w:r>
    </w:p>
    <w:p>
      <w:pPr>
        <w:pStyle w:val="Heading1"/>
      </w:pPr>
      <w:r>
        <w:t>Следвоенно възстановяване и институционална нормализация</w:t>
      </w:r>
    </w:p>
    <w:p>
      <w:pPr>
        <w:pStyle w:val="Heading3"/>
        <w:spacing w:before="120" w:after="60"/>
      </w:pPr>
      <w:r>
        <w:rPr>
          <w:b/>
        </w:rPr>
        <w:t>Закон за националната стабилизация и възстановяване</w:t>
      </w:r>
    </w:p>
    <w:p>
      <w:pPr>
        <w:spacing w:after="60"/>
      </w:pPr>
      <w:r>
        <w:rPr>
          <w:b/>
        </w:rPr>
        <w:t>Година на приемане: 2024    Идентификационен номер: PU2024/010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Първа рамка за възстановяване след бягството на Сергеев и частичната нормализация.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Цел на закона е възстановяване на институционалната дейност, снабдяването, транспортната свързаност и общественото доверие в държавата.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Министерският съвет изготвя шестмесечен план за спешни мерки по храни, енергия, здравеопазване, жилища и сигурност.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Възстановяването на районите, засегнати от въоръжен конфликт, се извършва при приоритет на гражданската инфраструктура и социалните услуги.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Средства по този закон се разходват публично и подлежат на извънреден одит от Сметната палата.</w:t>
      </w:r>
    </w:p>
    <w:p/>
    <w:p>
      <w:pPr>
        <w:pStyle w:val="Heading3"/>
        <w:spacing w:before="120" w:after="60"/>
      </w:pPr>
      <w:r>
        <w:rPr>
          <w:b/>
        </w:rPr>
        <w:t>Закон за временната комисия по установяване на злоупотреби при извънредния режим</w:t>
      </w:r>
    </w:p>
    <w:p>
      <w:pPr>
        <w:spacing w:after="60"/>
      </w:pPr>
      <w:r>
        <w:rPr>
          <w:b/>
        </w:rPr>
        <w:t>Година на приемане: 2024    Идентификационен номер: PU2024/011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Осигурява механизъм за установяване на злоупотреби от периода на диктатура и война.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Създава се временна комисия към Върховния конгрес за събиране на данни, свидетелства и документи относно злоупотреби при извънредния режим.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Комисията няма право да постановява присъди, но може да препраща материали до прокуратурата, съда и комисията за човешки права.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Държавните органи са длъжни да съхранят архивите и да не унищожават документи, записи и електронни данни, свързани с периода на разследване.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Окончателният доклад на комисията се публикува, освен в частите, които съдържат защитена информация за текущи операции и свидетели.</w:t>
      </w:r>
    </w:p>
    <w:p/>
    <w:p>
      <w:pPr>
        <w:pStyle w:val="Heading3"/>
        <w:spacing w:before="120" w:after="60"/>
      </w:pPr>
      <w:r>
        <w:rPr>
          <w:b/>
        </w:rPr>
        <w:t>Закон за държавния хранителен резерв и снабдяването на населението</w:t>
      </w:r>
    </w:p>
    <w:p>
      <w:pPr>
        <w:spacing w:after="60"/>
      </w:pPr>
      <w:r>
        <w:rPr>
          <w:b/>
        </w:rPr>
        <w:t>Година на приемане: 2024    Идентификационен номер: PU2024/012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Подсилва правилата за резервите след отказа те да бъдат отворени в кризисен момент.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Държавата поддържа минимален хранителен резерв от зърно, брашно, олио, консервирани продукти, лекарства и питейна вода.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При доказана опасност от глад, масов недостиг или блокирано снабдяване президентът или правителството незабавно разпореждат контролирано освобождаване на резерва.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Разпределението се осъществява по прозрачен списък на приоритетни групи и засегнати райони.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Умишленото укриване, незаконната продажба или политическото използване на държавния резерв се наказват като тежко престъпление.</w:t>
      </w:r>
    </w:p>
    <w:p/>
    <w:p>
      <w:pPr>
        <w:pStyle w:val="Heading3"/>
        <w:spacing w:before="120" w:after="60"/>
      </w:pPr>
      <w:r>
        <w:rPr>
          <w:b/>
        </w:rPr>
        <w:t>Закон за помирението, компенсациите и връщането към граждански мир</w:t>
      </w:r>
    </w:p>
    <w:p>
      <w:pPr>
        <w:spacing w:after="60"/>
      </w:pPr>
      <w:r>
        <w:rPr>
          <w:b/>
        </w:rPr>
        <w:t>Година на приемане: 2025    Идентификационен номер: PU2025/001</w:t>
      </w:r>
    </w:p>
    <w:p>
      <w:pPr>
        <w:spacing w:after="60"/>
      </w:pPr>
      <w:r>
        <w:rPr>
          <w:b/>
        </w:rPr>
        <w:t xml:space="preserve">Предмет на закона: </w:t>
      </w:r>
      <w:r>
        <w:t>Предназначен за по-дългосрочно стабилизиране след конфликта.</w:t>
      </w:r>
    </w:p>
    <w:p>
      <w:pPr>
        <w:spacing w:after="40"/>
        <w:ind w:left="170" w:hanging="170"/>
      </w:pPr>
      <w:r>
        <w:rPr>
          <w:b/>
        </w:rPr>
        <w:t xml:space="preserve">Чл. 1. </w:t>
      </w:r>
      <w:r>
        <w:t>Държавата насърчава възстановяването на гражданския мир чрез компенсации за жертви, подкрепа за разселени лица и общностни програми за помирение.</w:t>
      </w:r>
    </w:p>
    <w:p>
      <w:pPr>
        <w:spacing w:after="40"/>
        <w:ind w:left="170" w:hanging="170"/>
      </w:pPr>
      <w:r>
        <w:rPr>
          <w:b/>
        </w:rPr>
        <w:t xml:space="preserve">Чл. 2. </w:t>
      </w:r>
      <w:r>
        <w:t>Лица, изгубили жилище, близък, имущество или достъп до основни услуги вследствие на въоръжени действия, могат да кандидатстват за компенсация по ред, определен от Министерския съвет.</w:t>
      </w:r>
    </w:p>
    <w:p>
      <w:pPr>
        <w:spacing w:after="40"/>
        <w:ind w:left="170" w:hanging="170"/>
      </w:pPr>
      <w:r>
        <w:rPr>
          <w:b/>
        </w:rPr>
        <w:t xml:space="preserve">Чл. 3. </w:t>
      </w:r>
      <w:r>
        <w:t>Общините създават местни съвети за помирение с участие на граждански организации, религиозни общности и представители на пострадалите райони.</w:t>
      </w:r>
    </w:p>
    <w:p>
      <w:pPr>
        <w:spacing w:after="40"/>
        <w:ind w:left="170" w:hanging="170"/>
      </w:pPr>
      <w:r>
        <w:rPr>
          <w:b/>
        </w:rPr>
        <w:t xml:space="preserve">Чл. 4. </w:t>
      </w:r>
      <w:r>
        <w:t>Нито една програма за помирение не изключва наказателната отговорност за военни престъпления, масови убийства и тежки нарушения на човешките права.</w:t>
      </w:r>
    </w:p>
    <w:p/>
    <w:p>
      <w:r>
        <w:br w:type="page"/>
      </w:r>
    </w:p>
    <w:p>
      <w:pPr>
        <w:pStyle w:val="Heading1"/>
      </w:pPr>
      <w:r>
        <w:t>Заключителна бележка</w:t>
      </w:r>
    </w:p>
    <w:p>
      <w:r>
        <w:t>Сборникът представлява систематизирана фикционална нормативна база, разработена по историческата логика на Пустиняково и предназначена за worldbuilding, политическа симулация и институционален дизайн.</w:t>
      </w:r>
    </w:p>
    <w:p>
      <w:r>
        <w:t>Законите са формулирани така, че да отразяват различните режими: ранна социалистическа държавност, централизирана индустриализация, контролирана либерализация, демократичен преход, авторитарен срив и следвоенно възстановяване.</w:t>
      </w:r>
    </w:p>
    <w:p>
      <w:r>
        <w:t>При нужда този сборник може да бъде разширен с отделни кодекси — Наказателен кодекс, Граждански кодекс, Административнопроцесуален кодекс, Бюджетен закон и Закон за отбранителната мобилизация.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62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5F5F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F497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