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400"/>
        <w:ind/>
        <w:jc w:val="center"/>
        <w:rPr>
          <w:rFonts w:ascii="Times New Roman" w:hAnsi="Times New Roman" w:cs="Times New Roman"/>
        </w:rPr>
      </w:pPr>
      <w:r>
        <w:rPr>
          <w:rFonts w:ascii="Times New Roman" w:hAnsi="Times New Roman" w:eastAsia="Times New Roman" w:cs="Times New Roman"/>
          <w:b/>
          <w:color w:val="0b192c"/>
          <w:sz w:val="56"/>
        </w:rPr>
        <w:t xml:space="preserve">FinSight AI</w:t>
      </w:r>
      <w:r>
        <w:rPr>
          <w:rFonts w:ascii="Times New Roman" w:hAnsi="Times New Roman" w:eastAsia="Times New Roman" w:cs="Times New Roman"/>
        </w:rPr>
      </w:r>
    </w:p>
    <w:p>
      <w:pPr>
        <w:pBdr/>
        <w:spacing w:after="160" w:before="0"/>
        <w:ind/>
        <w:jc w:val="center"/>
        <w:rPr>
          <w:rFonts w:ascii="Times New Roman" w:hAnsi="Times New Roman" w:cs="Times New Roman"/>
          <w:color w:val="ff0000"/>
        </w:rPr>
      </w:pPr>
      <w:r>
        <w:rPr>
          <w:rFonts w:ascii="Times New Roman" w:hAnsi="Times New Roman" w:eastAsia="Times New Roman" w:cs="Times New Roman"/>
          <w:i/>
          <w:color w:val="ff0000"/>
          <w:sz w:val="26"/>
        </w:rPr>
        <w:t xml:space="preserve">Multi-Agent Financial Intelligence, Autonomous Reconciliation &amp; Fraud Investigation Platform</w:t>
      </w:r>
      <w:r>
        <w:rPr>
          <w:rFonts w:ascii="Times New Roman" w:hAnsi="Times New Roman" w:eastAsia="Times New Roman" w:cs="Times New Roman"/>
          <w:color w:val="ff0000"/>
        </w:rPr>
      </w:r>
    </w:p>
    <w:p>
      <w:pPr>
        <w:pBdr/>
        <w:spacing w:after="360" w:before="0"/>
        <w:ind/>
        <w:jc w:val="center"/>
        <w:rPr>
          <w:rFonts w:ascii="Times New Roman" w:hAnsi="Times New Roman" w:cs="Times New Roman"/>
        </w:rPr>
      </w:pPr>
      <w:r>
        <w:rPr>
          <w:rFonts w:ascii="Times New Roman" w:hAnsi="Times New Roman" w:eastAsia="Times New Roman" w:cs="Times New Roman"/>
          <w:color w:val="64748b"/>
          <w:sz w:val="20"/>
        </w:rPr>
        <w:t xml:space="preserve">Comprehensive Technical Architecture, Implementation &amp; Verification Report</w:t>
        <w:br/>
      </w:r>
      <w:r>
        <w:rPr>
          <w:rFonts w:ascii="Times New Roman" w:hAnsi="Times New Roman" w:eastAsia="Times New Roman" w:cs="Times New Roman"/>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ayout w:type="fixed"/>
        <w:tblLook w:val="04A0" w:firstRow="1" w:lastRow="0" w:firstColumn="1" w:lastColumn="0" w:noHBand="0" w:noVBand="1"/>
      </w:tblPr>
      <w:tblGrid>
        <w:gridCol w:w="4824"/>
        <w:gridCol w:w="4824"/>
      </w:tblGrid>
      <w:tr>
        <w:trPr/>
        <w:tc>
          <w:tcPr>
            <w:shd w:val="clear" w:color="auto" w:fill="0b192c"/>
            <w:tcBorders/>
            <w:tcMar>
              <w:left w:w="140" w:type="dxa"/>
              <w:top w:w="120" w:type="dxa"/>
              <w:right w:w="140" w:type="dxa"/>
              <w:bottom w:w="120" w:type="dxa"/>
            </w:tcMar>
            <w:tcW w:w="3168"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Attribute</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6192"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Specification Details</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316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Project Name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61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FinSight AI Enterprise Platform</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316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Current Architecture Phase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61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Full-Stack Complete: Backend Microservices + Frontend PWA + Middleware</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316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Backend Technology Stack</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61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Java 17, Spring Boot 3.3.4, Spring Cloud 2023.0.3, PostgreSQL 16, Maven</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316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Frontend Technology Stack</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61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React 18, Vite 6, TypeScript 5, Tailwind CSS 3.4, PWA, i18n</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316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Security &amp; Cryptography</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61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ChaCha20-Poly1305 AEAD, JWT (JJWT 0.12.6), 2FA OTP, Zero-Leak .env</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316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AI Orchestration</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61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9 Multi-Agent Financial Specialists with Human-in-the-Loop Review Gates</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316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Active Local Verification</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61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Backend Gateway (:8080), Eureka (:8761), Frontend Web App (:3000)</w:t>
            </w:r>
            <w:r>
              <w:rPr>
                <w:rFonts w:ascii="Times New Roman" w:hAnsi="Times New Roman" w:eastAsia="Times New Roman" w:cs="Times New Roman"/>
              </w:rPr>
            </w:r>
          </w:p>
        </w:tc>
      </w:tr>
    </w:tbl>
    <w:p>
      <w:pPr>
        <w:pBdr/>
        <w:spacing w:after="120" w:before="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after="60" w:before="200"/>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p>
    <w:p>
      <w:pPr>
        <w:pStyle w:val="713"/>
        <w:pBdr/>
        <w:spacing w:after="120" w:before="240"/>
        <w:ind/>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t xml:space="preserve">1. Executive Summary &amp; Platform Overview</w:t>
      </w:r>
      <w:r>
        <w:rPr>
          <w:rFonts w:ascii="Times New Roman" w:hAnsi="Times New Roman" w:eastAsia="Times New Roman" w:cs="Times New Roman"/>
          <w:b/>
          <w:bCs/>
          <w:color w:val="000000" w:themeColor="text1"/>
        </w:rPr>
      </w:r>
    </w:p>
    <w:p>
      <w:pPr>
        <w:pBdr/>
        <w:spacing/>
        <w:ind/>
        <w:rPr>
          <w:rFonts w:ascii="Times New Roman" w:hAnsi="Times New Roman" w:cs="Times New Roman"/>
        </w:rPr>
      </w:pPr>
      <w:r>
        <w:rPr>
          <w:rFonts w:ascii="Times New Roman" w:hAnsi="Times New Roman" w:eastAsia="Times New Roman" w:cs="Times New Roman"/>
        </w:rPr>
        <w:t xml:space="preserve">FinSight AI is a next-generation enterprise financial intelligence and autonomous investigation platform engineered to eliminate the critical operational bottlenecks inherent in contemporary banking, corporate treasury, a</w:t>
      </w:r>
      <w:r>
        <w:rPr>
          <w:rFonts w:ascii="Times New Roman" w:hAnsi="Times New Roman" w:eastAsia="Times New Roman" w:cs="Times New Roman"/>
        </w:rPr>
        <w:t xml:space="preserve">nd auditing ecosystems. Modern financial institutions process millions of transactions across disparate ledgers, banking rails, and payment processors, leading to high discrepancy volumes, delayed month-end closures, fraud evasion, and compliance exposure.</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 FinSight AI platform bridges these gaps through an enterp</w:t>
      </w:r>
      <w:r>
        <w:rPr>
          <w:rFonts w:ascii="Times New Roman" w:hAnsi="Times New Roman" w:eastAsia="Times New Roman" w:cs="Times New Roman"/>
        </w:rPr>
        <w:t xml:space="preserve">rise-grade, highly decoupled three-tier architecture: a Spring Boot microservices backend ecosystem with isolated database schemas, an event-driven middleware and caching layer, and an ultra-responsive React/TypeScript Progressive Web App (PWA). The system</w:t>
      </w:r>
      <w:r>
        <w:rPr>
          <w:rFonts w:ascii="Times New Roman" w:hAnsi="Times New Roman" w:eastAsia="Times New Roman" w:cs="Times New Roman"/>
        </w:rPr>
        <w:t xml:space="preserve"> integrates autonomous deterministic reconciliation, multi-factor AML risk scoring, predictive cash-flow runway modeling, tamper-proof audit trails, and a cooperative hierarchy of 9 specialized AI agents governed by strict human-in-the-loop approval gates.</w:t>
      </w:r>
      <w:r>
        <w:rPr>
          <w:rFonts w:ascii="Times New Roman" w:hAnsi="Times New Roman" w:eastAsia="Times New Roman" w:cs="Times New Roman"/>
        </w:rPr>
      </w:r>
    </w:p>
    <w:p>
      <w:pPr>
        <w:pBdr/>
        <w:spacing w:after="80" w:before="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713"/>
        <w:pBdr/>
        <w:spacing w:after="120" w:before="28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Decoupled Three-Tier Architectural Blueprint</w:t>
      </w:r>
      <w:r>
        <w:rPr>
          <w:rFonts w:ascii="Times New Roman" w:hAnsi="Times New Roman" w:eastAsia="Times New Roman" w:cs="Times New Roman"/>
          <w:color w:val="000000" w:themeColor="text1"/>
        </w:rPr>
      </w:r>
    </w:p>
    <w:p>
      <w:pPr>
        <w:pBdr/>
        <w:spacing/>
        <w:ind/>
        <w:rPr>
          <w:rFonts w:ascii="Times New Roman" w:hAnsi="Times New Roman" w:cs="Times New Roman"/>
        </w:rPr>
      </w:pPr>
      <w:r>
        <w:rPr>
          <w:rFonts w:ascii="Times New Roman" w:hAnsi="Times New Roman" w:eastAsia="Times New Roman" w:cs="Times New Roman"/>
        </w:rPr>
        <w:t xml:space="preserve">The workspace is strictly partitioned into three decoupled functional domains, establishing clear architectural boundaries and enabling independent horizontal scaling, testing, and deployment:</w:t>
      </w:r>
      <w:r>
        <w:rPr>
          <w:rFonts w:ascii="Times New Roman" w:hAnsi="Times New Roman" w:eastAsia="Times New Roman" w:cs="Times New Roman"/>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ayout w:type="fixed"/>
        <w:tblLook w:val="04A0" w:firstRow="1" w:lastRow="0" w:firstColumn="1" w:lastColumn="0" w:noHBand="0" w:noVBand="1"/>
      </w:tblPr>
      <w:tblGrid>
        <w:gridCol w:w="3216"/>
        <w:gridCol w:w="3216"/>
        <w:gridCol w:w="3216"/>
      </w:tblGrid>
      <w:tr>
        <w:trPr/>
        <w:tc>
          <w:tcPr>
            <w:shd w:val="clear" w:color="auto" w:fill="0b192c"/>
            <w:tcBorders/>
            <w:tcMar>
              <w:left w:w="140" w:type="dxa"/>
              <w:top w:w="120" w:type="dxa"/>
              <w:right w:w="140" w:type="dxa"/>
              <w:bottom w:w="12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Architectural Tier</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1872"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Folder Directory</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4896"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Core Responsibilities &amp; Capabilities</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Backend Microservices</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87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Backend/</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489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9 Spring Boot 3.3.4 microservices, Eureka Service Discovery (:8761), Reactive API Gateway (:8080), 7 isolated PostgreSQL schemas, OpenFeign inter-service RPC, and common security utilities.</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Frontend Web Application</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87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Frontend/</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489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React 18, Vite 6, TypeScript 5, Tailwind CSS 3.4, Progressive Web App (PWA) with service worker offline caching, 2-column auth screen, multilingual translation (English &amp; Hindi), dark/light theming, and admin live theme customizer.</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Middleware &amp; Infrastructure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87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Middleware/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489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Distributed Apache Kafka / RabbitMQ event brokers, Redis caching for token revocations and OTP TTLs, NGINX reverse proxy for edge SSL termination, and webhook adapters.</w:t>
            </w:r>
            <w:r>
              <w:rPr>
                <w:rFonts w:ascii="Times New Roman" w:hAnsi="Times New Roman" w:eastAsia="Times New Roman" w:cs="Times New Roman"/>
              </w:rPr>
            </w:r>
          </w:p>
        </w:tc>
      </w:tr>
    </w:tbl>
    <w:p>
      <w:pPr>
        <w:pBdr/>
        <w:spacing w:after="120" w:before="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Inter-service communication is governed by OpenFeign declarative clients with automatic correlation ID propagation (X-Correlation-ID) for complete distributed request traceability from gateway ingress to underlying database mutation.</w:t>
      </w:r>
      <w:r>
        <w:rPr>
          <w:rFonts w:ascii="Times New Roman" w:hAnsi="Times New Roman" w:eastAsia="Times New Roman" w:cs="Times New Roman"/>
        </w:rPr>
      </w:r>
    </w:p>
    <w:p>
      <w:pPr>
        <w:pStyle w:val="713"/>
        <w:pBdr/>
        <w:spacing w:after="120" w:before="28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Backend Microservices Architecture &amp; Port Topology</w:t>
      </w:r>
      <w:r>
        <w:rPr>
          <w:rFonts w:ascii="Times New Roman" w:hAnsi="Times New Roman" w:eastAsia="Times New Roman" w:cs="Times New Roman"/>
          <w:color w:val="000000" w:themeColor="text1"/>
        </w:rPr>
      </w:r>
    </w:p>
    <w:p>
      <w:pPr>
        <w:pBdr/>
        <w:spacing/>
        <w:ind/>
        <w:rPr>
          <w:rFonts w:ascii="Times New Roman" w:hAnsi="Times New Roman" w:eastAsia="Times New Roman" w:cs="Times New Roman"/>
          <w:highlight w:val="none"/>
        </w:rPr>
      </w:pPr>
      <w:r>
        <w:rPr>
          <w:rFonts w:ascii="Times New Roman" w:hAnsi="Times New Roman" w:eastAsia="Times New Roman" w:cs="Times New Roman"/>
        </w:rPr>
        <w:t xml:space="preserve">The backend ecosystem consists of 9 decoupled microservices, each dedicated to a distinct bounded context, communicating over a virtual private network and orchestrated via Netflix Eureka:</w:t>
      </w:r>
      <w:r>
        <w:rPr>
          <w:rFonts w:ascii="Times New Roman" w:hAnsi="Times New Roman" w:cs="Times New Roman"/>
        </w:rPr>
      </w:r>
    </w:p>
    <w:p w14:paraId="39DDB5C0">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ayout w:type="fixed"/>
        <w:tblLook w:val="04A0" w:firstRow="1" w:lastRow="0" w:firstColumn="1" w:lastColumn="0" w:noHBand="0" w:noVBand="1"/>
      </w:tblPr>
      <w:tblGrid>
        <w:gridCol w:w="1930"/>
        <w:gridCol w:w="1930"/>
        <w:gridCol w:w="1930"/>
        <w:gridCol w:w="1930"/>
        <w:gridCol w:w="1930"/>
      </w:tblGrid>
      <w:tr>
        <w:trPr/>
        <w:tc>
          <w:tcPr>
            <w:shd w:val="clear" w:color="auto" w:fill="0b192c"/>
            <w:tcBorders/>
            <w:tcMar>
              <w:left w:w="140" w:type="dxa"/>
              <w:top w:w="120" w:type="dxa"/>
              <w:right w:w="140" w:type="dxa"/>
              <w:bottom w:w="120" w:type="dxa"/>
            </w:tcMar>
            <w:tcW w:w="2160"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Service Name</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864"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Port</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Database Schema</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Primary Architectural Responsibility</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2016"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Key REST Endpoints</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160"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eureka-server</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86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8761</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Service Registry, heartbeat health checks &amp; peer discovery</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01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/eureka/*, /</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2160"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api-gateway</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86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8080</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Reactive reverse proxy, centralized JWT filter &amp; correlation tracer</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01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/api/v1/**, /actuator/**</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160"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auth-service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86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8081</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finsight_auth</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User auth, ChaCha20 encryption, 2FA OTP, RBAC menus</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01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/api/v1/auth/**, /api/v1/users/**</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2160"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financial-data-service</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86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8082</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finsight_financial_data</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Chart of accounts, CSV/JSON transaction ingestion, SHA-256 deduplication</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01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/api/v1/accounts/**, /api/v1/transactions/**</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160"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reconciliation-service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86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8083</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finsight_reconciliation</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Deterministic matching engine (Exact, Tolerance, 1-to-many), discrepancy review</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01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/api/v1/reconciliation/runs/**, /discrepancies/**</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2160"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fraud-detection-service</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86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8084</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finsight_fraud</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Multi-factor AML anomaly rules, 0-100 risk scoring, alert lifecycles</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01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/api/v1/fraud/evaluate, /api/v1/fraud/alerts/**</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160"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audit-reporting-service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86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8085</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finsight_audit</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Immutable audit trail persistence, before/after JSON snapshots, compliance docs</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01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/api/v1/audit/events/**, /api/v1/audit/reports/**</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2160"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financial-insights-service</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86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8086</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finsight_insights</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AR aging buckets, expense categorization, 30/60/90-day cash flow runway models</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01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/api/v1/insights/invoices/**, /analytics/**</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160"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ai-orchestrator-service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86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8087</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finsight_ai</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9 specialist financial AI agents, tool routing, human-in-the-loop review gates</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01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/api/v1/ai/execute, /runs/**, /tools, /agents</w:t>
            </w:r>
            <w:r>
              <w:rPr>
                <w:rFonts w:ascii="Times New Roman" w:hAnsi="Times New Roman" w:eastAsia="Times New Roman" w:cs="Times New Roman"/>
              </w:rPr>
            </w:r>
          </w:p>
        </w:tc>
      </w:tr>
    </w:tbl>
    <w:p>
      <w:pPr>
        <w:pBdr/>
        <w:spacing w:after="120" w:before="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714"/>
        <w:pBdr/>
        <w:spacing w:after="80" w:before="160"/>
        <w:ind/>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t xml:space="preserve">3.1. Detailed Service Capabilities</w:t>
      </w:r>
      <w:r>
        <w:rPr>
          <w:rFonts w:ascii="Times New Roman" w:hAnsi="Times New Roman" w:eastAsia="Times New Roman" w:cs="Times New Roman"/>
          <w:b/>
          <w:bCs/>
          <w:color w:val="000000" w:themeColor="text1"/>
        </w:rPr>
      </w:r>
    </w:p>
    <w:p>
      <w:pPr>
        <w:pBdr/>
        <w:spacing/>
        <w:ind/>
        <w:rPr>
          <w:rFonts w:ascii="Times New Roman" w:hAnsi="Times New Roman" w:cs="Times New Roman"/>
        </w:rPr>
      </w:pPr>
      <w:r>
        <w:rPr>
          <w:rFonts w:ascii="Times New Roman" w:hAnsi="Times New Roman" w:eastAsia="Times New Roman" w:cs="Times New Roman"/>
        </w:rPr>
        <w:t xml:space="preserve">• Reactive API Gateway (Port 8080): Implements a non-blocking WebFlux gateway equipped with JwtAuthenticationGatewayFilterFactory. Public routes (/api/v1/auth/**, /actuator/**, Swagger U</w:t>
      </w:r>
      <w:r>
        <w:rPr>
          <w:rFonts w:ascii="Times New Roman" w:hAnsi="Times New Roman" w:eastAsia="Times New Roman" w:cs="Times New Roman"/>
        </w:rPr>
        <w:t xml:space="preserve">I) are white-listed, while protected routes undergo HMAC-SHA256 token verification. Upon validation, user claims (X-User-Id, X-User-Email, X-User-Roles) are injected into downstream headers, removing token validation overhead from individual microservices.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 Authentication &amp; Identity Service (Port 8081): Manages user registration, login, and token refreshes. Integrates ChaCha20-Poly1305 symmetric encryption for all sensitive fields. Implements a dedicated 2FA OTP ve</w:t>
      </w:r>
      <w:r>
        <w:rPr>
          <w:rFonts w:ascii="Times New Roman" w:hAnsi="Times New Roman" w:eastAsia="Times New Roman" w:cs="Times New Roman"/>
        </w:rPr>
        <w:t xml:space="preserve">rification workflow with configurable expiration TTL. Generates dynamic, role-filtered navigation menu structures depending on whether the authenticated identity holds ROLE_ADMIN, ROLE_FINANCIAL_ANALYST, ROLE_COMPLIANCE_OFFICER, ROLE_AUDITOR, or ROLE_USER.</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 Financial Data Service (Port 8082): Maintains </w:t>
      </w:r>
      <w:r>
        <w:rPr>
          <w:rFonts w:ascii="Times New Roman" w:hAnsi="Times New Roman" w:eastAsia="Times New Roman" w:cs="Times New Roman"/>
        </w:rPr>
        <w:t xml:space="preserve">ledger accounts and multi-currency transaction journals. Features a high-throughput CSV/JSON ingestion pipeline using Apache Commons CSV. Ensures zero-duplicate processing via a cryptographic SHA-256 idempotency hash calculated over transaction attributes.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 Deterministic Reconciliation Engin</w:t>
      </w:r>
      <w:r>
        <w:rPr>
          <w:rFonts w:ascii="Times New Roman" w:hAnsi="Times New Roman" w:eastAsia="Times New Roman" w:cs="Times New Roman"/>
        </w:rPr>
        <w:t xml:space="preserve">e (Port 8083): Executes autonomous matching through three successive deterministic tiers: (1) Exact Matching (exact amount, matching currency, inverse direction, matching source reference), (2) Tolerance Matching (configurable date variance ±3 days, amount</w:t>
      </w:r>
      <w:r>
        <w:rPr>
          <w:rFonts w:ascii="Times New Roman" w:hAnsi="Times New Roman" w:eastAsia="Times New Roman" w:cs="Times New Roman"/>
        </w:rPr>
        <w:t xml:space="preserve"> variance ±0.05), and (3) One-to-Many Aggregation Matching (consolidating batch split entries against aggregate settlement figures). Flagged discrepancies undergo structured review workflows (APPROVE_MATCH, REJECT_MATCH, WRITE_OFF, ESCALATE_TO_COMPLIANCE).</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 Fraud Detection &amp; AML Anomaly Engine (Port 8084): Evaluates incoming transactions against a weighted multi-factor rule matrix including HIGH_AMOUNT_ANOMALY (weight 35), HIGH_VELOCITY_SPIKE (weight 30), CROSS_BORDER_A</w:t>
      </w:r>
      <w:r>
        <w:rPr>
          <w:rFonts w:ascii="Times New Roman" w:hAnsi="Times New Roman" w:eastAsia="Times New Roman" w:cs="Times New Roman"/>
        </w:rPr>
        <w:t xml:space="preserve">NOMALY (weight 25), SUSPICIOUS_ROUND_AMOUNT (weight 20), DUPLICATE_CANDIDATE (weight 25), and CONNECTED_ACCOUNTS_CYCLE (weight 40). Computes a normalized risk score from 0 to 100 and classifies incidents into LOW, MEDIUM, HIGH, and CRITICAL severity tiers.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 Audit &amp; Compliance Reporting Se</w:t>
      </w:r>
      <w:r>
        <w:rPr>
          <w:rFonts w:ascii="Times New Roman" w:hAnsi="Times New Roman" w:eastAsia="Times New Roman" w:cs="Times New Roman"/>
        </w:rPr>
        <w:t xml:space="preserve">rvice (Port 8085): Enforces regulatory compliance (SOX, AML, ISO 27001) by recording immutable, append-only audit entries. Every state modification records actor identity, IP, client application, correlation ID, and full before/after JSON entity snapshots.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 Financial Insights &amp; Runway Modeling Service (Port 8086): Computes</w:t>
      </w:r>
      <w:r>
        <w:rPr>
          <w:rFonts w:ascii="Times New Roman" w:hAnsi="Times New Roman" w:eastAsia="Times New Roman" w:cs="Times New Roman"/>
        </w:rPr>
        <w:t xml:space="preserve"> Accounts Receivable (AR) aging across four dynamic buckets (0-30, 31-60, 61-90, 90+ days overdue), breaks down organizational expenditures across SaaS, Payroll, Infrastructure, and Legal, and generates predictive 30/60/90-day cash flow runway projections.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 AI Orchestrator &amp; Specialist Agent Mesh (Port 8087): A cooperative multi-agent system comprising 9 specialized financial age</w:t>
      </w:r>
      <w:r>
        <w:rPr>
          <w:rFonts w:ascii="Times New Roman" w:hAnsi="Times New Roman" w:eastAsia="Times New Roman" w:cs="Times New Roman"/>
        </w:rPr>
        <w:t xml:space="preserve">nts orchestrated by a Supervisory Meta-Orchestrator. Features dynamic tool invocation across microservices and enforces a strict Human Approval Gate (AWAITING_HUMAN_APPROVAL) for high-impact actions like balance adjustments, account freezes, or write-offs.</w:t>
      </w:r>
      <w:r>
        <w:rPr>
          <w:rFonts w:ascii="Times New Roman" w:hAnsi="Times New Roman" w:eastAsia="Times New Roman" w:cs="Times New Roman"/>
        </w:rPr>
      </w:r>
    </w:p>
    <w:p>
      <w:pPr>
        <w:pStyle w:val="713"/>
        <w:pBdr/>
        <w:spacing w:after="120" w:before="28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Security Architecture &amp; Sensitive Data Protection</w:t>
      </w:r>
      <w:r>
        <w:rPr>
          <w:rFonts w:ascii="Times New Roman" w:hAnsi="Times New Roman" w:eastAsia="Times New Roman" w:cs="Times New Roman"/>
          <w:color w:val="000000" w:themeColor="text1"/>
        </w:rPr>
      </w:r>
    </w:p>
    <w:p>
      <w:pPr>
        <w:pBdr/>
        <w:spacing/>
        <w:ind/>
        <w:rPr>
          <w:rFonts w:ascii="Times New Roman" w:hAnsi="Times New Roman" w:cs="Times New Roman"/>
        </w:rPr>
      </w:pPr>
      <w:r>
        <w:rPr>
          <w:rFonts w:ascii="Times New Roman" w:hAnsi="Times New Roman" w:eastAsia="Times New Roman" w:cs="Times New Roman"/>
        </w:rPr>
        <w:t xml:space="preserve">FinSight AI incorporates a zero-trust, defense-in-depth security model specifically tailored for high-stakes financial operations:</w:t>
      </w:r>
      <w:r>
        <w:rPr>
          <w:rFonts w:ascii="Times New Roman" w:hAnsi="Times New Roman" w:eastAsia="Times New Roman" w:cs="Times New Roman"/>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ayout w:type="fixed"/>
        <w:tblLook w:val="04A0" w:firstRow="1" w:lastRow="0" w:firstColumn="1" w:lastColumn="0" w:noHBand="0" w:noVBand="1"/>
      </w:tblPr>
      <w:tblGrid>
        <w:gridCol w:w="3216"/>
        <w:gridCol w:w="3216"/>
        <w:gridCol w:w="3216"/>
      </w:tblGrid>
      <w:tr>
        <w:trPr/>
        <w:tc>
          <w:tcPr>
            <w:shd w:val="clear" w:color="auto" w:fill="0b192c"/>
            <w:tcBorders/>
            <w:tcMar>
              <w:left w:w="140" w:type="dxa"/>
              <w:top w:w="120" w:type="dxa"/>
              <w:right w:w="140" w:type="dxa"/>
              <w:bottom w:w="12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Security Mechanism</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Implementation Standard</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Protection Scope &amp; Operational Impact</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ChaCha20-Poly1305 AEAD</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RFC 8439 Authenticated Symmetric Cipher</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Encrypts sensitive customer PII, account numbers, and transaction payloads. Resists cache-timing side-channel attacks and outperforms AES on systems lacking dedicated hardware acceleration.</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Zero-Leak Secret Management</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.env &amp; .env.example Exclusion</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All database credentials, JWT signing keys, and third-party API tokens are loaded exclusively from external environment variables, preventing accidental source control leakage.</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Distributed Request Tracing</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CorrelationIdFilter &amp; OpenFeign Interceptors</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Every client request receives a unique X-Correlation-ID header, propagated across thread-local storage and inter-service HTTP headers for comprehensive forensic auditing.</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Role-Based Access Control (RBAC)</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Spring Security 6 &amp; Method-Level Authority</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Pre-seeded enterprise roles (ROLE_ADMIN, ROLE_FINANCIAL_ANALYST, ROLE_COMPLIANCE_OFFICER, ROLE_AUDITOR, ROLE_USER) govern endpoint permissions and dynamic UI menus.</w:t>
            </w:r>
            <w:r>
              <w:rPr>
                <w:rFonts w:ascii="Times New Roman" w:hAnsi="Times New Roman" w:eastAsia="Times New Roman" w:cs="Times New Roman"/>
              </w:rPr>
            </w:r>
          </w:p>
        </w:tc>
      </w:tr>
    </w:tbl>
    <w:p>
      <w:pPr>
        <w:pBdr/>
        <w:spacing w:after="120" w:before="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713"/>
        <w:pBdr/>
        <w:spacing w:after="120" w:before="28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Frontend Web Application Architecture &amp; Modern UX</w:t>
      </w:r>
      <w:r>
        <w:rPr>
          <w:rFonts w:ascii="Times New Roman" w:hAnsi="Times New Roman" w:eastAsia="Times New Roman" w:cs="Times New Roman"/>
          <w:color w:val="000000" w:themeColor="text1"/>
        </w:rPr>
      </w:r>
    </w:p>
    <w:p>
      <w:pPr>
        <w:pBdr/>
        <w:spacing/>
        <w:ind/>
        <w:rPr>
          <w:rFonts w:ascii="Times New Roman" w:hAnsi="Times New Roman" w:cs="Times New Roman"/>
        </w:rPr>
      </w:pPr>
      <w:r>
        <w:rPr>
          <w:rFonts w:ascii="Times New Roman" w:hAnsi="Times New Roman" w:eastAsia="Times New Roman" w:cs="Times New Roman"/>
        </w:rPr>
        <w:t xml:space="preserve">The frontend is built using React 18, Vite 6, TypeScript 5, and Tailwind CSS 3.4. It is designed to deliver a modern, intuitive, and secure experience for financial analysts and administrators.</w:t>
      </w:r>
      <w:r>
        <w:rPr>
          <w:rFonts w:ascii="Times New Roman" w:hAnsi="Times New Roman" w:eastAsia="Times New Roman" w:cs="Times New Roman"/>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ayout w:type="fixed"/>
        <w:tblLook w:val="04A0" w:firstRow="1" w:lastRow="0" w:firstColumn="1" w:lastColumn="0" w:noHBand="0" w:noVBand="1"/>
      </w:tblPr>
      <w:tblGrid>
        <w:gridCol w:w="3216"/>
        <w:gridCol w:w="3216"/>
        <w:gridCol w:w="3216"/>
      </w:tblGrid>
      <w:tr>
        <w:trPr/>
        <w:tc>
          <w:tcPr>
            <w:shd w:val="clear" w:color="auto" w:fill="0b192c"/>
            <w:tcBorders/>
            <w:tcMar>
              <w:left w:w="140" w:type="dxa"/>
              <w:top w:w="120" w:type="dxa"/>
              <w:right w:w="140" w:type="dxa"/>
              <w:bottom w:w="12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Feature Category</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Technical Implementation</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User &amp; Operational Experience</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Split 2-Column Responsive Layout</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CSS Grid &amp; Flexbox in LoginPage.tsx</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Left column showcases the brand identity, live telemetry statistics, and a custom 3D fintech hero asset. Right column houses the auth card. Seamlessly stacks on mobile devices.</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Integrated 'Register with Us'</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Dynamic Auth Mode Switching</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Allows new enterprise users to register with Full Name, Enterprise Email, Username, Password, and Role selection, toggling smoothly with the login view.</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Two-Factor Authentication (2FA) OTP</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6-Digit Interactive PIN Card</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Mandatory security step triggered following both Login and Registration. Features sandbox auto-fill (⚡ Auto-Fill: 834912) for rapid evaluation and testing.</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Progressive Web App (PWA)</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manifest.webmanifest &amp; sw.js Service Worker</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Delivers installable standalone application behavior, offline asset caching, custom 192px/512px app icons, and an 'Install App' prompt button in the header.</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Multilingual Translator (i18n)</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Custom React Context (i18n.tsx)</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 dictionary localization supporting English (en) and Hindi (hi / हिंदी) across navigation, forms, dashboards, and customizers.</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Light &amp; Dark Theme Engine</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ThemeContext with Dynamic .dark Class</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Allows one-click toggling between sleek dark mode and clean light mode with accessible WCAG contrast.</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Admin Live Theme Customizer</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AdminThemeCustomizerCard.tsx</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Empowers administrators to dynamically re-color the entire application in real time using 6 pre-tuned enterprise palettes (Sapphire, Emerald, Violet, Crimson, Amber, Cyan) or custom hex codes via CSS custom properties.</w:t>
            </w:r>
            <w:r>
              <w:rPr>
                <w:rFonts w:ascii="Times New Roman" w:hAnsi="Times New Roman" w:eastAsia="Times New Roman" w:cs="Times New Roman"/>
              </w:rPr>
            </w:r>
          </w:p>
        </w:tc>
      </w:tr>
    </w:tbl>
    <w:p>
      <w:pPr>
        <w:pBdr/>
        <w:spacing w:after="120" w:before="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714"/>
        <w:pBdr/>
        <w:spacing w:after="80" w:before="2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5.1. Split Two-Column Responsive Authentication Interface</w:t>
      </w:r>
      <w:r>
        <w:rPr>
          <w:rFonts w:ascii="Times New Roman" w:hAnsi="Times New Roman" w:eastAsia="Times New Roman" w:cs="Times New Roman"/>
          <w:color w:val="000000" w:themeColor="text1"/>
        </w:rPr>
      </w:r>
    </w:p>
    <w:p>
      <w:pPr>
        <w:pBdr/>
        <w:spacing/>
        <w:ind/>
        <w:rPr>
          <w:rFonts w:ascii="Times New Roman" w:hAnsi="Times New Roman" w:cs="Times New Roman"/>
        </w:rPr>
      </w:pPr>
      <w:r>
        <w:rPr>
          <w:rFonts w:ascii="Times New Roman" w:hAnsi="Times New Roman" w:eastAsia="Times New Roman" w:cs="Times New Roman"/>
        </w:rPr>
        <w:t xml:space="preserve">The authentication gateway features a split two-column de</w:t>
      </w:r>
      <w:r>
        <w:rPr>
          <w:rFonts w:ascii="Times New Roman" w:hAnsi="Times New Roman" w:eastAsia="Times New Roman" w:cs="Times New Roman"/>
        </w:rPr>
        <w:t xml:space="preserve">sign. The left section showcases the platform's core autonomous capabilities, live telemetry metrics (99.51% Recon Match Rate, 9 AI Specialist Agents, Deterministic 4-Step Matching, Real-Time AML Velocity Scoring, ChaCha20-Poly1305 Cryptography, and 30/60/</w:t>
      </w:r>
      <w:r>
        <w:rPr>
          <w:rFonts w:ascii="Times New Roman" w:hAnsi="Times New Roman" w:eastAsia="Times New Roman" w:cs="Times New Roman"/>
        </w:rPr>
        <w:t xml:space="preserve">90-Day Cash Flow Runway), and high-resolution fintech 3D visual branding. The right section presents the enterprise sign-in card with one-click evaluator persona switches ('Admin' and 'Analyst') and a direct link to register for a new enterprise workspace.</w:t>
      </w:r>
      <w:r>
        <w:rPr>
          <w:rFonts w:ascii="Times New Roman" w:hAnsi="Times New Roman" w:eastAsia="Times New Roman" w:cs="Times New Roman"/>
        </w:rPr>
      </w:r>
    </w:p>
    <w:p>
      <w:pPr>
        <w:pBdr/>
        <w:spacing w:after="60" w:before="200"/>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669280" cy="2624257"/>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split_layout_login.png"/>
                        <pic:cNvPicPr>
                          <a:picLocks noChangeAspect="1"/>
                        </pic:cNvPicPr>
                        <pic:nvPr/>
                      </pic:nvPicPr>
                      <pic:blipFill rotWithShape="1">
                        <a:blip r:embed="rId12"/>
                        <a:stretch/>
                      </pic:blipFill>
                      <pic:spPr bwMode="auto">
                        <a:xfrm>
                          <a:off x="0" y="0"/>
                          <a:ext cx="5669280" cy="26242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6.40pt;height:206.6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rPr>
      </w:r>
    </w:p>
    <w:p>
      <w:pPr>
        <w:pBdr/>
        <w:spacing w:after="280" w:before="40"/>
        <w:ind/>
        <w:jc w:val="center"/>
        <w:rPr>
          <w:rFonts w:ascii="Times New Roman" w:hAnsi="Times New Roman" w:cs="Times New Roman"/>
        </w:rPr>
      </w:pPr>
      <w:r>
        <w:rPr>
          <w:rFonts w:ascii="Times New Roman" w:hAnsi="Times New Roman" w:eastAsia="Times New Roman" w:cs="Times New Roman"/>
          <w:i/>
          <w:color w:val="64748b"/>
          <w:sz w:val="18"/>
        </w:rPr>
        <w:t xml:space="preserve">Figure </w:t>
      </w:r>
      <w:r>
        <w:rPr>
          <w:rFonts w:ascii="Times New Roman" w:hAnsi="Times New Roman" w:eastAsia="Times New Roman" w:cs="Times New Roman"/>
          <w:i/>
          <w:color w:val="64748b"/>
          <w:sz w:val="18"/>
          <w:lang w:val="en-IN"/>
        </w:rPr>
        <w:t xml:space="preserve">1</w:t>
      </w:r>
      <w:r>
        <w:rPr>
          <w:rFonts w:ascii="Times New Roman" w:hAnsi="Times New Roman" w:eastAsia="Times New Roman" w:cs="Times New Roman"/>
          <w:i/>
          <w:color w:val="64748b"/>
          <w:sz w:val="18"/>
        </w:rPr>
        <w:t xml:space="preserve">: Enterprise Split 2-Column Authentication Interface with Branding Telemetry, Hero Visual, and Workspace Sign-In Card</w:t>
      </w:r>
      <w:r>
        <w:rPr>
          <w:rFonts w:ascii="Times New Roman" w:hAnsi="Times New Roman" w:eastAsia="Times New Roman" w:cs="Times New Roman"/>
        </w:rPr>
      </w:r>
    </w:p>
    <w:p>
      <w:pPr>
        <w:pStyle w:val="714"/>
        <w:pBdr/>
        <w:spacing w:after="80" w:before="2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5.2. Two-Factor Authentication (2FA) Security Verification Card</w:t>
      </w:r>
      <w:r>
        <w:rPr>
          <w:rFonts w:ascii="Times New Roman" w:hAnsi="Times New Roman" w:eastAsia="Times New Roman" w:cs="Times New Roman"/>
          <w:color w:val="000000" w:themeColor="text1"/>
        </w:rPr>
      </w:r>
    </w:p>
    <w:p>
      <w:pPr>
        <w:pBdr/>
        <w:spacing/>
        <w:ind/>
        <w:rPr>
          <w:rFonts w:ascii="Times New Roman" w:hAnsi="Times New Roman" w:cs="Times New Roman"/>
        </w:rPr>
      </w:pPr>
      <w:r>
        <w:rPr>
          <w:rFonts w:ascii="Times New Roman" w:hAnsi="Times New Roman" w:eastAsia="Times New Roman" w:cs="Times New Roman"/>
        </w:rPr>
        <w:t xml:space="preserve">To enforce zero-trust identity verification, both user sign-in and new user registration trigger an automated 2FA OTP step. The interface presents 6 discrete digit inputs with automatic focus advancement, backspace management, </w:t>
      </w:r>
      <w:r>
        <w:rPr>
          <w:rFonts w:ascii="Times New Roman" w:hAnsi="Times New Roman" w:eastAsia="Times New Roman" w:cs="Times New Roman"/>
        </w:rPr>
        <w:t xml:space="preserve">and clipboard paste support. For seamless evaluator review and testing, a Development Sandbox fast-fill button ('⚡ Auto-Fill: 834912') is provided to auto-populate the mock ChaCha20-authenticated OTP verification code and immediately authorize the session.</w:t>
      </w:r>
      <w:r>
        <w:rPr>
          <w:rFonts w:ascii="Times New Roman" w:hAnsi="Times New Roman" w:eastAsia="Times New Roman" w:cs="Times New Roman"/>
        </w:rPr>
      </w:r>
    </w:p>
    <w:p>
      <w:pPr>
        <w:pBdr/>
        <w:spacing w:after="60" w:before="200"/>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669280" cy="176349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_factor_auth_otp_verification.png"/>
                        <pic:cNvPicPr>
                          <a:picLocks noChangeAspect="1"/>
                        </pic:cNvPicPr>
                        <pic:nvPr/>
                      </pic:nvPicPr>
                      <pic:blipFill rotWithShape="1">
                        <a:blip r:embed="rId13"/>
                        <a:stretch/>
                      </pic:blipFill>
                      <pic:spPr bwMode="auto">
                        <a:xfrm flipH="0" flipV="0">
                          <a:off x="0" y="0"/>
                          <a:ext cx="5669280" cy="1763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6.40pt;height:138.86pt;mso-wrap-distance-left:0.00pt;mso-wrap-distance-top:0.00pt;mso-wrap-distance-right:0.00pt;mso-wrap-distance-bottom:0.00pt;z-index:1;" stroked="false">
                <v:imagedata r:id="rId13" o:title=""/>
                <o:lock v:ext="edit" rotation="t"/>
              </v:shape>
            </w:pict>
          </mc:Fallback>
        </mc:AlternateContent>
        <w:br/>
      </w:r>
      <w:r>
        <w:rPr>
          <w:rFonts w:ascii="Times New Roman" w:hAnsi="Times New Roman" w:eastAsia="Times New Roman" w:cs="Times New Roman"/>
        </w:rPr>
      </w:r>
      <w:r>
        <w:rPr>
          <w:rFonts w:ascii="Times New Roman" w:hAnsi="Times New Roman" w:eastAsia="Times New Roman" w:cs="Times New Roman"/>
          <w:i/>
          <w:color w:val="64748b"/>
          <w:sz w:val="18"/>
        </w:rPr>
        <w:t xml:space="preserve">Figure </w:t>
      </w:r>
      <w:r>
        <w:rPr>
          <w:rFonts w:ascii="Times New Roman" w:hAnsi="Times New Roman" w:eastAsia="Times New Roman" w:cs="Times New Roman"/>
          <w:i/>
          <w:color w:val="64748b"/>
          <w:sz w:val="18"/>
          <w:lang w:val="en-IN"/>
        </w:rPr>
        <w:t xml:space="preserve">2</w:t>
      </w:r>
      <w:r>
        <w:rPr>
          <w:rFonts w:ascii="Times New Roman" w:hAnsi="Times New Roman" w:eastAsia="Times New Roman" w:cs="Times New Roman"/>
          <w:i/>
          <w:color w:val="64748b"/>
          <w:sz w:val="18"/>
        </w:rPr>
        <w:t xml:space="preserve">: Two-Factor Authentication (2FA) OTP Verification Card with Interactive PIN Inputs and Sandbox Fast-Fill (834912)</w:t>
      </w:r>
      <w:r>
        <w:rPr>
          <w:rFonts w:ascii="Times New Roman" w:hAnsi="Times New Roman" w:eastAsia="Times New Roman" w:cs="Times New Roman"/>
        </w:rPr>
      </w:r>
      <w:r>
        <w:rPr>
          <w:rFonts w:ascii="Times New Roman" w:hAnsi="Times New Roman" w:cs="Times New Roman"/>
        </w:rPr>
      </w:r>
    </w:p>
    <w:p>
      <w:pPr>
        <w:pStyle w:val="714"/>
        <w:pBdr/>
        <w:spacing w:after="80" w:before="2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5.3. FinSight AI Copilot &amp; Multi-Agent Investigation Workspace</w:t>
      </w:r>
      <w:r>
        <w:rPr>
          <w:rFonts w:ascii="Times New Roman" w:hAnsi="Times New Roman" w:eastAsia="Times New Roman" w:cs="Times New Roman"/>
          <w:color w:val="000000" w:themeColor="text1"/>
        </w:rPr>
      </w:r>
    </w:p>
    <w:p>
      <w:pPr>
        <w:pBdr/>
        <w:spacing/>
        <w:ind/>
        <w:rPr>
          <w:rFonts w:ascii="Times New Roman" w:hAnsi="Times New Roman" w:cs="Times New Roman"/>
        </w:rPr>
      </w:pPr>
      <w:r>
        <w:rPr>
          <w:rFonts w:ascii="Times New Roman" w:hAnsi="Times New Roman" w:eastAsia="Times New Roman" w:cs="Times New Roman"/>
        </w:rPr>
        <w:t xml:space="preserve">Upon authentication, users enter the FinSight AI Copilot environment powered by Gemini 1.5 Pro React Online. The interface incorporates a persistent left-hand navigation rail organized into Financial Operations, Risk &amp; I</w:t>
      </w:r>
      <w:r>
        <w:rPr>
          <w:rFonts w:ascii="Times New Roman" w:hAnsi="Times New Roman" w:eastAsia="Times New Roman" w:cs="Times New Roman"/>
        </w:rPr>
        <w:t xml:space="preserve">nvestigation, and Governance. The conversational agent provides one-click recommended queries, real-time tool dispatch telemetry (e.g., 'Tools Dispatched: systemInitialized' with 100% confidence), and active gateway connection status badges (:8080 Active).</w:t>
      </w:r>
      <w:r>
        <w:rPr>
          <w:rFonts w:ascii="Times New Roman" w:hAnsi="Times New Roman" w:eastAsia="Times New Roman" w:cs="Times New Roman"/>
        </w:rPr>
      </w:r>
    </w:p>
    <w:p>
      <w:pPr>
        <w:pBdr/>
        <w:spacing w:after="60" w:before="200"/>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669280" cy="2474774"/>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sight_ai_copilot_workspace.png"/>
                        <pic:cNvPicPr>
                          <a:picLocks noChangeAspect="1"/>
                        </pic:cNvPicPr>
                        <pic:nvPr/>
                      </pic:nvPicPr>
                      <pic:blipFill rotWithShape="1">
                        <a:blip r:embed="rId14"/>
                        <a:stretch/>
                      </pic:blipFill>
                      <pic:spPr bwMode="auto">
                        <a:xfrm>
                          <a:off x="0" y="0"/>
                          <a:ext cx="5669280" cy="2474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6.40pt;height:194.86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rPr>
      </w:r>
    </w:p>
    <w:p>
      <w:pPr>
        <w:pBdr/>
        <w:spacing w:after="280" w:before="40"/>
        <w:ind/>
        <w:jc w:val="center"/>
        <w:rPr>
          <w:rFonts w:ascii="Times New Roman" w:hAnsi="Times New Roman" w:cs="Times New Roman"/>
        </w:rPr>
      </w:pPr>
      <w:r>
        <w:rPr>
          <w:rFonts w:ascii="Times New Roman" w:hAnsi="Times New Roman" w:eastAsia="Times New Roman" w:cs="Times New Roman"/>
          <w:i/>
          <w:color w:val="64748b"/>
          <w:sz w:val="18"/>
        </w:rPr>
        <w:t xml:space="preserve">Figure </w:t>
      </w:r>
      <w:r>
        <w:rPr>
          <w:rFonts w:ascii="Times New Roman" w:hAnsi="Times New Roman" w:eastAsia="Times New Roman" w:cs="Times New Roman"/>
          <w:i/>
          <w:color w:val="64748b"/>
          <w:sz w:val="18"/>
          <w:lang w:val="en-IN"/>
        </w:rPr>
        <w:t xml:space="preserve">3</w:t>
      </w:r>
      <w:r>
        <w:rPr>
          <w:rFonts w:ascii="Times New Roman" w:hAnsi="Times New Roman" w:eastAsia="Times New Roman" w:cs="Times New Roman"/>
          <w:i/>
          <w:color w:val="64748b"/>
          <w:sz w:val="18"/>
        </w:rPr>
        <w:t xml:space="preserve">: FinSight AI Copilot Workspace with Gemini 1.5 Pro React Online, Recommended Queries, Tool Telemetry, and Navigation Rail</w:t>
      </w:r>
      <w:r>
        <w:rPr>
          <w:rFonts w:ascii="Times New Roman" w:hAnsi="Times New Roman" w:eastAsia="Times New Roman" w:cs="Times New Roman"/>
        </w:rPr>
      </w:r>
    </w:p>
    <w:p>
      <w:pPr>
        <w:pStyle w:val="714"/>
        <w:pBdr/>
        <w:spacing w:after="80" w:before="2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5.4. Financial Operations &amp; Multi-Chart Analytics Dashboard (Light Mode)</w:t>
      </w:r>
      <w:r>
        <w:rPr>
          <w:rFonts w:ascii="Times New Roman" w:hAnsi="Times New Roman" w:eastAsia="Times New Roman" w:cs="Times New Roman"/>
          <w:color w:val="000000" w:themeColor="text1"/>
        </w:rPr>
      </w:r>
    </w:p>
    <w:p>
      <w:pPr>
        <w:pBdr/>
        <w:spacing/>
        <w:ind/>
        <w:rPr>
          <w:rFonts w:ascii="Times New Roman" w:hAnsi="Times New Roman" w:cs="Times New Roman"/>
        </w:rPr>
      </w:pPr>
      <w:r>
        <w:rPr>
          <w:rFonts w:ascii="Times New Roman" w:hAnsi="Times New Roman" w:eastAsia="Times New Roman" w:cs="Times New Roman"/>
        </w:rPr>
        <w:t xml:space="preserve">The platform includes comprehensive light and dark theme modes. </w:t>
      </w:r>
      <w:r>
        <w:rPr>
          <w:rFonts w:ascii="Times New Roman" w:hAnsi="Times New Roman" w:eastAsia="Times New Roman" w:cs="Times New Roman"/>
        </w:rPr>
        <w:t xml:space="preserve">Figure 5 illustrates the Financial Operations Dashboard in Light Mode. The dashboard presents high-density financial visualizations, including a 7-day Transaction Clearing &amp; Reconciliation Volume area chart, a Risk Severity Matrix bar chart categorized by </w:t>
      </w:r>
      <w:r>
        <w:rPr>
          <w:rFonts w:ascii="Times New Roman" w:hAnsi="Times New Roman" w:eastAsia="Times New Roman" w:cs="Times New Roman"/>
        </w:rPr>
        <w:t xml:space="preserve">velocity engine thresholds (Critical, High, Medium, Low), an Expense Breakdown donut chart, and a real-time Specialist AI Agent Activity Stream showing completed runs for the Reconciliation Agent (RUN-AT-8821-01) and Fraud Detection Agent (RUN-AI-8821-02).</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669280" cy="1820619"/>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al_dashboard_light_theme.png"/>
                        <pic:cNvPicPr>
                          <a:picLocks noChangeAspect="1"/>
                        </pic:cNvPicPr>
                        <pic:nvPr/>
                      </pic:nvPicPr>
                      <pic:blipFill rotWithShape="1">
                        <a:blip r:embed="rId15"/>
                        <a:stretch/>
                      </pic:blipFill>
                      <pic:spPr bwMode="auto">
                        <a:xfrm flipH="0" flipV="0">
                          <a:off x="0" y="0"/>
                          <a:ext cx="5669280" cy="18206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6.40pt;height:143.36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rPr>
      </w:r>
    </w:p>
    <w:p>
      <w:pPr>
        <w:pBdr/>
        <w:spacing w:after="280" w:before="40"/>
        <w:ind/>
        <w:jc w:val="center"/>
        <w:rPr>
          <w:rFonts w:ascii="Times New Roman" w:hAnsi="Times New Roman" w:cs="Times New Roman"/>
        </w:rPr>
      </w:pPr>
      <w:r>
        <w:rPr>
          <w:rFonts w:ascii="Times New Roman" w:hAnsi="Times New Roman" w:eastAsia="Times New Roman" w:cs="Times New Roman"/>
          <w:i/>
          <w:color w:val="64748b"/>
          <w:sz w:val="18"/>
        </w:rPr>
        <w:t xml:space="preserve">Figure </w:t>
      </w:r>
      <w:r>
        <w:rPr>
          <w:rFonts w:ascii="Times New Roman" w:hAnsi="Times New Roman" w:eastAsia="Times New Roman" w:cs="Times New Roman"/>
          <w:i/>
          <w:color w:val="64748b"/>
          <w:sz w:val="18"/>
          <w:lang w:val="en-IN"/>
        </w:rPr>
        <w:t xml:space="preserve">4</w:t>
      </w:r>
      <w:r>
        <w:rPr>
          <w:rFonts w:ascii="Times New Roman" w:hAnsi="Times New Roman" w:eastAsia="Times New Roman" w:cs="Times New Roman"/>
          <w:i/>
          <w:color w:val="64748b"/>
          <w:sz w:val="18"/>
        </w:rPr>
        <w:t xml:space="preserve">: Financial Operations Dashboard (Light Theme) with Volume Area Chart, Risk Severity Matrix, Expense Donut, and Agent Activity Stream</w:t>
      </w:r>
      <w:r>
        <w:rPr>
          <w:rFonts w:ascii="Times New Roman" w:hAnsi="Times New Roman" w:eastAsia="Times New Roman" w:cs="Times New Roman"/>
        </w:rPr>
      </w:r>
    </w:p>
    <w:p>
      <w:pPr>
        <w:pStyle w:val="714"/>
        <w:pBdr/>
        <w:spacing w:after="80" w:before="20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5.5. Hindi Language Localization &amp; Admin Dynamic Brand Color Customizer</w:t>
      </w:r>
      <w:r>
        <w:rPr>
          <w:rFonts w:ascii="Times New Roman" w:hAnsi="Times New Roman" w:eastAsia="Times New Roman" w:cs="Times New Roman"/>
          <w:color w:val="000000" w:themeColor="text1"/>
        </w:rPr>
      </w:r>
    </w:p>
    <w:p>
      <w:pPr>
        <w:pBdr/>
        <w:spacing/>
        <w:ind/>
        <w:rPr>
          <w:rFonts w:ascii="Times New Roman" w:hAnsi="Times New Roman" w:cs="Times New Roman"/>
        </w:rPr>
      </w:pPr>
      <w:r>
        <w:rPr>
          <w:rFonts w:ascii="Times New Roman" w:hAnsi="Times New Roman" w:eastAsia="Times New Roman" w:cs="Times New Roman"/>
        </w:rPr>
        <w:t xml:space="preserve">FinSight AI integrates a comprehensive multilingual translation en</w:t>
      </w:r>
      <w:r>
        <w:rPr>
          <w:rFonts w:ascii="Times New Roman" w:hAnsi="Times New Roman" w:eastAsia="Times New Roman" w:cs="Times New Roman"/>
        </w:rPr>
        <w:t xml:space="preserve">gine supporting English and Hindi (हिंदी). As shown in Figure 6, all navigation items (डैशबोर्ड, वित्तीय डेटा, समाधान, व्यय बुद्धिमत्ता, चालान और प्राप्य, रोकड़ प्रवाह पूर्वानुमान, धोखाधड़ी निगरानी), status indicators, and buttons are localized seamlessly.</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F</w:t>
      </w:r>
      <w:r>
        <w:rPr>
          <w:rFonts w:ascii="Times New Roman" w:hAnsi="Times New Roman" w:eastAsia="Times New Roman" w:cs="Times New Roman"/>
        </w:rPr>
        <w:t xml:space="preserve">urthermore, Figure 6 highlights the Admin Dynamic Brand Color Customizer card ('गतिशील ब्रांड रंग अनुकूलक ADMIN LIVE TOOL'). Administrators can select from 6 pre-tuned enterprise fintech palettes (नीलम नीला #2563eb, पन्ना हरा #059669 - ACTIVE, शाही बैंगनी </w:t>
      </w:r>
      <w:r>
        <w:rPr>
          <w:rFonts w:ascii="Times New Roman" w:hAnsi="Times New Roman" w:eastAsia="Times New Roman" w:cs="Times New Roman"/>
        </w:rPr>
        <w:t xml:space="preserve">#7c3aed, गहरा लाल #dc2626, अंबर स्वर्ण #d97706, साइबर नीला #0891b2) or specify custom hex codes. The changes inject instantly into CSS custom properties, updating buttons, pills, active links, and border highlights in real time without refreshing the page.</w:t>
      </w:r>
      <w:r>
        <w:rPr>
          <w:rFonts w:ascii="Times New Roman" w:hAnsi="Times New Roman" w:eastAsia="Times New Roman" w:cs="Times New Roman"/>
        </w:rPr>
      </w:r>
    </w:p>
    <w:p>
      <w:pPr>
        <w:pBdr/>
        <w:spacing w:after="60" w:before="200"/>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669280" cy="2369582"/>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i_translation_admin_color_customizer.png"/>
                        <pic:cNvPicPr>
                          <a:picLocks noChangeAspect="1"/>
                        </pic:cNvPicPr>
                        <pic:nvPr/>
                      </pic:nvPicPr>
                      <pic:blipFill rotWithShape="1">
                        <a:blip r:embed="rId16"/>
                        <a:stretch/>
                      </pic:blipFill>
                      <pic:spPr bwMode="auto">
                        <a:xfrm>
                          <a:off x="0" y="0"/>
                          <a:ext cx="5669280" cy="23695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46.40pt;height:186.58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rPr>
      </w:r>
    </w:p>
    <w:p>
      <w:pPr>
        <w:pBdr/>
        <w:spacing w:after="280" w:before="40"/>
        <w:ind/>
        <w:jc w:val="center"/>
        <w:rPr>
          <w:rFonts w:ascii="Times New Roman" w:hAnsi="Times New Roman" w:cs="Times New Roman"/>
        </w:rPr>
      </w:pPr>
      <w:r>
        <w:rPr>
          <w:rFonts w:ascii="Times New Roman" w:hAnsi="Times New Roman" w:eastAsia="Times New Roman" w:cs="Times New Roman"/>
          <w:i/>
          <w:color w:val="64748b"/>
          <w:sz w:val="18"/>
        </w:rPr>
        <w:t xml:space="preserve">Figure </w:t>
      </w:r>
      <w:r>
        <w:rPr>
          <w:rFonts w:ascii="Times New Roman" w:hAnsi="Times New Roman" w:eastAsia="Times New Roman" w:cs="Times New Roman"/>
          <w:i/>
          <w:color w:val="64748b"/>
          <w:sz w:val="18"/>
          <w:lang w:val="en-IN"/>
        </w:rPr>
        <w:t xml:space="preserve">5</w:t>
      </w:r>
      <w:r>
        <w:rPr>
          <w:rFonts w:ascii="Times New Roman" w:hAnsi="Times New Roman" w:eastAsia="Times New Roman" w:cs="Times New Roman"/>
          <w:i/>
          <w:color w:val="64748b"/>
          <w:sz w:val="18"/>
        </w:rPr>
        <w:t xml:space="preserve">: Complete Hindi UI Localization (हिंदी) with Active Admin Dynamic Color Customizer (Emerald Palette - #059669) and Treasury KPIs</w:t>
      </w:r>
      <w:r>
        <w:rPr>
          <w:rFonts w:ascii="Times New Roman" w:hAnsi="Times New Roman" w:eastAsia="Times New Roman" w:cs="Times New Roman"/>
        </w:rPr>
      </w:r>
    </w:p>
    <w:p>
      <w:pPr>
        <w:pStyle w:val="713"/>
        <w:pBdr/>
        <w:spacing w:after="120" w:before="28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Middleware &amp; Distributed Infrastructure</w:t>
      </w:r>
      <w:r>
        <w:rPr>
          <w:rFonts w:ascii="Times New Roman" w:hAnsi="Times New Roman" w:eastAsia="Times New Roman" w:cs="Times New Roman"/>
          <w:color w:val="000000" w:themeColor="text1"/>
          <w:lang w:val="en-IN"/>
        </w:rPr>
        <w:t xml:space="preserve"> (</w:t>
      </w:r>
      <w:r>
        <w:rPr>
          <w:rFonts w:ascii="Times New Roman" w:hAnsi="Times New Roman" w:eastAsia="Times New Roman" w:cs="Times New Roman"/>
          <w:color w:val="ff0000"/>
          <w:lang w:val="en-IN"/>
        </w:rPr>
        <w:t xml:space="preserve">STILL PENDING</w:t>
      </w:r>
      <w:r>
        <w:rPr>
          <w:rFonts w:ascii="Times New Roman" w:hAnsi="Times New Roman" w:eastAsia="Times New Roman" w:cs="Times New Roman"/>
          <w:color w:val="000000" w:themeColor="text1"/>
          <w:lang w:val="en-IN"/>
        </w:rPr>
        <w:t xml:space="preserve">)</w:t>
      </w:r>
      <w:r>
        <w:rPr>
          <w:rFonts w:ascii="Times New Roman" w:hAnsi="Times New Roman" w:eastAsia="Times New Roman" w:cs="Times New Roman"/>
          <w:color w:val="000000" w:themeColor="text1"/>
        </w:rPr>
      </w:r>
    </w:p>
    <w:p>
      <w:pPr>
        <w:pBdr/>
        <w:spacing/>
        <w:ind/>
        <w:rPr>
          <w:rFonts w:ascii="Times New Roman" w:hAnsi="Times New Roman" w:cs="Times New Roman"/>
        </w:rPr>
      </w:pPr>
      <w:r>
        <w:rPr>
          <w:rFonts w:ascii="Times New Roman" w:hAnsi="Times New Roman" w:eastAsia="Times New Roman" w:cs="Times New Roman"/>
        </w:rPr>
        <w:t xml:space="preserve">The Middleware/ layer coordinates distributed messaging, performance optimization, and edge security:</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1. Distributed Event Streaming (Apache Kafka / RabbitMQ): Topics defined for financial.transactions, fraud.alerts, and audit.events decouple synchronous ingestion from asynchronous anomaly evaluation and ledger reconciliation.</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2. Distributed Caching (Redis 7.x): Manages high-throughput JWT token revocation blacklists upon logout, rapid 5-minute TTL expirations for 2FA OTP tokens, and rolling-window fraud velocity counters.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3. Edge Ingress &amp; Reverse Proxy (NGINX / Envoy): Terminates TLS 1.3, applies rate limiting to prevent brute-force credential stuffing, and standardizes CORS headers across environments.</w:t>
      </w:r>
      <w:r>
        <w:rPr>
          <w:rFonts w:ascii="Times New Roman" w:hAnsi="Times New Roman" w:eastAsia="Times New Roman" w:cs="Times New Roman"/>
        </w:rPr>
      </w:r>
    </w:p>
    <w:p>
      <w:pPr>
        <w:pStyle w:val="713"/>
        <w:pBdr/>
        <w:spacing w:after="120" w:before="28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Testing, Verification </w:t>
      </w:r>
      <w:r>
        <w:rPr>
          <w:rFonts w:ascii="Times New Roman" w:hAnsi="Times New Roman" w:eastAsia="Times New Roman" w:cs="Times New Roman"/>
          <w:color w:val="000000" w:themeColor="text1"/>
        </w:rPr>
      </w:r>
    </w:p>
    <w:p>
      <w:pPr>
        <w:pBdr/>
        <w:spacing/>
        <w:ind/>
        <w:rPr>
          <w:rFonts w:ascii="Times New Roman" w:hAnsi="Times New Roman" w:cs="Times New Roman"/>
        </w:rPr>
      </w:pPr>
      <w:r>
        <w:rPr>
          <w:rFonts w:ascii="Times New Roman" w:hAnsi="Times New Roman" w:eastAsia="Times New Roman" w:cs="Times New Roman"/>
        </w:rPr>
        <w:t xml:space="preserve">Every tier of the FinSight AI application has been validated using automated testing suites and end-to-end tooling:</w:t>
      </w:r>
      <w:r>
        <w:rPr>
          <w:rFonts w:ascii="Times New Roman" w:hAnsi="Times New Roman" w:eastAsia="Times New Roman" w:cs="Times New Roman"/>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ayout w:type="fixed"/>
        <w:tblLook w:val="04A0" w:firstRow="1" w:lastRow="0" w:firstColumn="1" w:lastColumn="0" w:noHBand="0" w:noVBand="1"/>
      </w:tblPr>
      <w:tblGrid>
        <w:gridCol w:w="3216"/>
        <w:gridCol w:w="3216"/>
        <w:gridCol w:w="3216"/>
      </w:tblGrid>
      <w:tr>
        <w:trPr/>
        <w:tc>
          <w:tcPr>
            <w:shd w:val="clear" w:color="auto" w:fill="0b192c"/>
            <w:tcBorders/>
            <w:tcMar>
              <w:left w:w="140" w:type="dxa"/>
              <w:top w:w="120" w:type="dxa"/>
              <w:right w:w="140" w:type="dxa"/>
              <w:bottom w:w="12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Testing Area</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Framework &amp; Tooling</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Verification Outcome &amp; Status</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Backend Multi-Module Build</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Maven Reactor (mvn clean compile)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PASSED: All 9 microservices, parent POM, and common libraries compile cleanly.</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Frontend Production Build</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Vite 6 &amp; TypeScript (npm run build)</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PASSED: Zero TypeScript errors; minified bundle and CSS generated successfully.</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Frontend Automated Unit Tests</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Vitest &amp; Testing Library (npx vitest run)</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PASSED: 9 out of 9 tests passed covering formatters, UI button variants, and login/auth flows.</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API Collection &amp; Chaining</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Postman Collection v2.1</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VERIFIED: Automatic extraction and propagation of {{jwt_token}} across all protected endpoints.</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Interactive API Documentation</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2592"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Springdoc OpenAPI / Swagger UI 2.6.0</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4176"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VERIFIED: All REST endpoints documented with schemas and sandbox invocation at :8080/swagger-ui.html.</w:t>
            </w:r>
            <w:r>
              <w:rPr>
                <w:rFonts w:ascii="Times New Roman" w:hAnsi="Times New Roman" w:eastAsia="Times New Roman" w:cs="Times New Roman"/>
              </w:rPr>
            </w:r>
          </w:p>
        </w:tc>
      </w:tr>
    </w:tbl>
    <w:p>
      <w:pPr>
        <w:pBdr/>
        <w:spacing w:after="120" w:before="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713"/>
        <w:pBdr/>
        <w:spacing w:after="120" w:before="280"/>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8. </w:t>
      </w:r>
      <w:r>
        <w:rPr>
          <w:rFonts w:ascii="Times New Roman" w:hAnsi="Times New Roman" w:eastAsia="Times New Roman" w:cs="Times New Roman"/>
          <w:color w:val="000000" w:themeColor="text1"/>
          <w:lang w:val="en-IN"/>
        </w:rPr>
        <w:t xml:space="preserve">Features completed</w:t>
      </w:r>
      <w:r>
        <w:rPr>
          <w:rFonts w:ascii="Times New Roman" w:hAnsi="Times New Roman" w:eastAsia="Times New Roman" w:cs="Times New Roman"/>
          <w:color w:val="000000" w:themeColor="text1"/>
        </w:rP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ayout w:type="fixed"/>
        <w:tblLook w:val="04A0" w:firstRow="1" w:lastRow="0" w:firstColumn="1" w:lastColumn="0" w:noHBand="0" w:noVBand="1"/>
      </w:tblPr>
      <w:tblGrid>
        <w:gridCol w:w="3216"/>
        <w:gridCol w:w="3216"/>
        <w:gridCol w:w="3216"/>
      </w:tblGrid>
      <w:tr>
        <w:trPr/>
        <w:tc>
          <w:tcPr>
            <w:shd w:val="clear" w:color="auto" w:fill="0b192c"/>
            <w:tcBorders/>
            <w:tcMar>
              <w:left w:w="140" w:type="dxa"/>
              <w:top w:w="120" w:type="dxa"/>
              <w:right w:w="140" w:type="dxa"/>
              <w:bottom w:w="12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Deliverable / Feature Requirement</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Architectural Location</w:t>
            </w:r>
            <w:r>
              <w:rPr>
                <w:rFonts w:ascii="Times New Roman" w:hAnsi="Times New Roman" w:eastAsia="Times New Roman" w:cs="Times New Roman"/>
              </w:rPr>
            </w:r>
          </w:p>
        </w:tc>
        <w:tc>
          <w:tcPr>
            <w:shd w:val="clear" w:color="auto" w:fill="0b192c"/>
            <w:tcBorders/>
            <w:tcMar>
              <w:left w:w="140" w:type="dxa"/>
              <w:top w:w="120" w:type="dxa"/>
              <w:right w:w="140" w:type="dxa"/>
              <w:bottom w:w="12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b/>
                <w:color w:val="ffffff"/>
                <w:sz w:val="19"/>
              </w:rPr>
              <w:t xml:space="preserve">Current Status</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Three-Tier Folder Structure (Backend, Frontend, Middleware)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Root Workspace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9 Spring Boot Microservices with Eureka &amp; Reactive Gateway</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Backend/</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ChaCha20-Poly1305 Authenticated Encryption &amp; .env Protection</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Backend/ &amp; finsight-common</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Deterministic 3-Tier Reconciliation Matching Engine</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Backend/reconciliation-service</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Multi-Factor AML Fraud Scoring &amp; Alert Management</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Backend/fraud-detection-service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9 Financial AI Specialist Agents with Human Approval Gate</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Backend/ai-orchestrator-service</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Accounts Receivable Aging &amp; Cash-Flow Runway Modeling</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Backend/financial-insights-service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Immutable Audit Trail &amp; Before/After JSON Snapshots</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Backend/audit-reporting-service</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PostgreSQL 7-Schema Docker Compose Environment</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Backend/docker-compose.yml</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Postman v2.1 Automated Test Collection with JWT Chaining</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Root Workspace</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Modern Responsive Frontend (React 18 + Vite + TypeScript)</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Frontend/src/</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Split 2-Column Auth Screen with 3D Visual Hero Image</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Frontend/src/features/auth</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Integrated 'Register with Us' Enterprise Sign-Up Flow</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Frontend/src/features/auth</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Two-Factor Authentication (2FA) OTP Verification Card</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Frontend/src/features/auth</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Progressive Web App (PWA) Manifest &amp; Service Worker Cache</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Frontend/public/</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Multilingual Translation Engine (English &amp; Hindi)</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Frontend/src/lib/i18n.tsx</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fffff"/>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Light &amp; Dark Theme Engine with Accessible WCAG Contrast</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Frontend/src/lib/theme.tsx</w:t>
            </w:r>
            <w:r>
              <w:rPr>
                <w:rFonts w:ascii="Times New Roman" w:hAnsi="Times New Roman" w:eastAsia="Times New Roman" w:cs="Times New Roman"/>
              </w:rPr>
            </w:r>
          </w:p>
        </w:tc>
        <w:tc>
          <w:tcPr>
            <w:shd w:val="clear" w:color="auto" w:fill="ffffff"/>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r>
        <w:trPr/>
        <w:tc>
          <w:tcPr>
            <w:shd w:val="clear" w:color="auto" w:fill="f8fafc"/>
            <w:tcBorders/>
            <w:tcMar>
              <w:left w:w="140" w:type="dxa"/>
              <w:top w:w="100" w:type="dxa"/>
              <w:right w:w="140" w:type="dxa"/>
              <w:bottom w:w="100" w:type="dxa"/>
            </w:tcMar>
            <w:tcW w:w="460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Admin Live Theme / Color Customizer Card (6 Palettes + Custom)</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3024"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Frontend/src/components/admin</w:t>
            </w:r>
            <w:r>
              <w:rPr>
                <w:rFonts w:ascii="Times New Roman" w:hAnsi="Times New Roman" w:eastAsia="Times New Roman" w:cs="Times New Roman"/>
              </w:rPr>
            </w:r>
          </w:p>
        </w:tc>
        <w:tc>
          <w:tcPr>
            <w:shd w:val="clear" w:color="auto" w:fill="f8fafc"/>
            <w:tcBorders/>
            <w:tcMar>
              <w:left w:w="140" w:type="dxa"/>
              <w:top w:w="100" w:type="dxa"/>
              <w:right w:w="140" w:type="dxa"/>
              <w:bottom w:w="100" w:type="dxa"/>
            </w:tcMar>
            <w:tcW w:w="1728" w:type="dxa"/>
          </w:tcPr>
          <w:p>
            <w:pPr>
              <w:pBdr/>
              <w:spacing w:after="0" w:before="0"/>
              <w:ind/>
              <w:jc w:val="left"/>
              <w:rPr>
                <w:rFonts w:ascii="Times New Roman" w:hAnsi="Times New Roman" w:cs="Times New Roman"/>
              </w:rPr>
            </w:pPr>
            <w:r>
              <w:rPr>
                <w:rFonts w:ascii="Times New Roman" w:hAnsi="Times New Roman" w:eastAsia="Times New Roman" w:cs="Times New Roman"/>
                <w:color w:val="1e293b"/>
                <w:sz w:val="18"/>
              </w:rPr>
              <w:t xml:space="preserve">COMPLETED (100%)</w:t>
            </w:r>
            <w:r>
              <w:rPr>
                <w:rFonts w:ascii="Times New Roman" w:hAnsi="Times New Roman" w:eastAsia="Times New Roman" w:cs="Times New Roman"/>
              </w:rPr>
            </w:r>
          </w:p>
        </w:tc>
      </w:tr>
    </w:tbl>
    <w:p>
      <w:pPr>
        <w:pBdr/>
        <w:spacing w:after="120" w:before="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sectPr>
      <w:headerReference w:type="default" r:id="rId9"/>
      <w:footerReference w:type="default" r:id="rId10"/>
      <w:footnotePr/>
      <w:endnotePr/>
      <w:type w:val="nextPage"/>
      <w:pgSz w:h="15840" w:orient="portrait" w:w="12240"/>
      <w:pgMar w:top="1296" w:right="1296" w:bottom="1296" w:left="129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Symbol">
    <w:panose1 w:val="05050102010706020507"/>
  </w:font>
  <w:font w:name="Courier">
    <w:panose1 w:val="020703090202050204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both"/>
      <w:rPr/>
    </w:pPr>
    <w:r>
      <w:rPr>
        <w:rFonts w:ascii="Calibri" w:hAnsi="Calibri"/>
        <w:color w:val="94a3b8"/>
        <w:sz w:val="16"/>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ind/>
      <w:jc w:val="right"/>
      <w:rPr/>
    </w:pPr>
    <w:r>
      <w:rPr>
        <w:rFonts w:ascii="Calibri" w:hAnsi="Calibri"/>
        <w:color w:val="94a3b8"/>
        <w:sz w:val="16"/>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ind/>
    </w:p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2026-10-14T13:40:02Z</dcterms:modified>
  <cp:category/>
</cp:coreProperties>
</file>