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5B485A26" ns2:textId="7E68FF13" w:rsidR="00EB6DF9" w:rsidRPr="007B60D2" w:rsidRDefault="0027136F" w:rsidP="004B3E22">
      <w:pPr>
        <w:pStyle w:val="Heading1"/>
        <w:jc w:val="center"/>
        <w:rPr>
          <w:rFonts w:ascii="Times New Roman" w:hAnsi="Times New Roman" w:cs="Times New Roman"/>
        </w:rPr>
      </w:pPr>
      <w:r w:rsidRPr="007B60D2">
        <w:rPr>
          <w:rFonts w:ascii="Times New Roman" w:hAnsi="Times New Roman" w:cs="Times New Roman"/>
        </w:rPr>
        <w:t xml:space="preserve">EBU6304 Software Engineering </w:t>
      </w:r>
      <w:r w:rsidR="002E7AE4" w:rsidRPr="007B60D2">
        <w:rPr>
          <w:rFonts w:ascii="Times New Roman" w:hAnsi="Times New Roman" w:cs="Times New Roman"/>
        </w:rPr>
        <w:t>G</w:t>
      </w:r>
      <w:r w:rsidRPr="007B60D2">
        <w:rPr>
          <w:rFonts w:ascii="Times New Roman" w:hAnsi="Times New Roman" w:cs="Times New Roman"/>
        </w:rPr>
        <w:t>roup Project</w:t>
      </w:r>
    </w:p>
    <w:p ns2:paraId="621736AA" ns2:textId="3DBE1D0C" w:rsidR="00412CE0" w:rsidRPr="007B60D2" w:rsidRDefault="00412CE0" w:rsidP="008655E3">
      <w:pPr>
        <w:pStyle w:val="Heading2"/>
        <w:jc w:val="center"/>
        <w:rPr>
          <w:rFonts w:ascii="Times New Roman" w:hAnsi="Times New Roman" w:cs="Times New Roman"/>
        </w:rPr>
      </w:pPr>
      <w:r w:rsidRPr="007B60D2">
        <w:rPr>
          <w:rFonts w:ascii="Times New Roman" w:hAnsi="Times New Roman" w:cs="Times New Roman"/>
        </w:rPr>
        <w:t>202</w:t>
      </w:r>
      <w:r w:rsidR="0058432C">
        <w:rPr>
          <w:rFonts w:ascii="Times New Roman" w:hAnsi="Times New Roman" w:cs="Times New Roman"/>
        </w:rPr>
        <w:t>5</w:t>
      </w:r>
      <w:r w:rsidRPr="007B60D2">
        <w:rPr>
          <w:rFonts w:ascii="Times New Roman" w:hAnsi="Times New Roman" w:cs="Times New Roman"/>
        </w:rPr>
        <w:t>-2</w:t>
      </w:r>
      <w:r w:rsidR="0058432C">
        <w:rPr>
          <w:rFonts w:ascii="Times New Roman" w:hAnsi="Times New Roman" w:cs="Times New Roman"/>
        </w:rPr>
        <w:t>6</w:t>
      </w:r>
    </w:p>
    <w:tbl>
      <w:tblPr>
        <w:tblStyle w:val="TableGrid"/>
        <w:tblW w:w="0" w:type="auto"/>
        <w:tblLook w:val="04A0" w:firstRow="1" w:lastRow="0" w:firstColumn="1" w:lastColumn="0" w:noHBand="0" w:noVBand="1"/>
      </w:tblPr>
      <w:tblGrid>
        <w:gridCol w:w="1838"/>
        <w:gridCol w:w="3119"/>
        <w:gridCol w:w="4059"/>
      </w:tblGrid>
      <w:tr w:rsidR="00C352F9" w:rsidRPr="007B60D2" ns2:paraId="6E3A80C2" ns2:textId="77777777" w:rsidTr="00B867D9">
        <w:tc>
          <w:tcPr>
            <w:tcW w:w="1838" w:type="dxa"/>
          </w:tcPr>
          <w:p ns2:paraId="6177F7C0" ns2:textId="434C3157" w:rsidR="00C352F9" w:rsidRPr="007B60D2" w:rsidRDefault="00C352F9" w:rsidP="00B1272E">
            <w:pPr>
              <w:rPr>
                <w:rFonts w:ascii="Times New Roman" w:hAnsi="Times New Roman" w:cs="Times New Roman"/>
              </w:rPr>
            </w:pPr>
            <w:r w:rsidRPr="007B60D2">
              <w:rPr>
                <w:rFonts w:ascii="Times New Roman" w:hAnsi="Times New Roman" w:cs="Times New Roman"/>
              </w:rPr>
              <w:t>Group number</w:t>
            </w:r>
          </w:p>
        </w:tc>
        <w:tc>
          <w:tcPr>
            <w:tcW w:w="7178" w:type="dxa"/>
            <w:gridSpan w:val="2"/>
          </w:tcPr>
          <w:p ns2:paraId="0D4D6C25" ns2:textId="77777777" w:rsidR="00C352F9" w:rsidRPr="007B60D2" w:rsidRDefault="00C352F9" w:rsidP="00B1272E">
            <w:pPr>
              <w:rPr>
                <w:rFonts w:ascii="Times New Roman" w:hAnsi="Times New Roman" w:cs="Times New Roman"/>
              </w:rPr>
            </w:pPr>
          </w:p>
        </w:tc>
      </w:tr>
      <w:tr w:rsidR="00C352F9" w:rsidRPr="007B60D2" ns2:paraId="0568D47D" ns2:textId="77777777" w:rsidTr="00B867D9">
        <w:tc>
          <w:tcPr>
            <w:tcW w:w="1838" w:type="dxa"/>
          </w:tcPr>
          <w:p ns2:paraId="556A90F4" ns2:textId="095688BD" w:rsidR="00C352F9" w:rsidRPr="007B60D2" w:rsidRDefault="00C352F9" w:rsidP="00B1272E">
            <w:pPr>
              <w:rPr>
                <w:rFonts w:ascii="Times New Roman" w:hAnsi="Times New Roman" w:cs="Times New Roman"/>
              </w:rPr>
            </w:pPr>
            <w:r w:rsidRPr="007B60D2">
              <w:rPr>
                <w:rFonts w:ascii="Times New Roman" w:hAnsi="Times New Roman" w:cs="Times New Roman"/>
              </w:rPr>
              <w:t>member 1</w:t>
            </w:r>
          </w:p>
        </w:tc>
        <w:tc>
          <w:tcPr>
            <w:tcW w:w="3119" w:type="dxa"/>
          </w:tcPr>
          <w:p ns2:paraId="7447D1DB" ns2:textId="58A88CCE" w:rsidR="00C352F9" w:rsidRPr="007B60D2" w:rsidRDefault="00C352F9" w:rsidP="00B1272E">
            <w:pPr>
              <w:rPr>
                <w:rFonts w:ascii="Times New Roman" w:hAnsi="Times New Roman" w:cs="Times New Roman"/>
              </w:rPr>
            </w:pPr>
            <w:r w:rsidRPr="007B60D2">
              <w:rPr>
                <w:rFonts w:ascii="Times New Roman" w:hAnsi="Times New Roman" w:cs="Times New Roman"/>
              </w:rPr>
              <w:t xml:space="preserve">QM no: </w:t>
            </w:r>
          </w:p>
        </w:tc>
        <w:tc>
          <w:tcPr>
            <w:tcW w:w="4059" w:type="dxa"/>
          </w:tcPr>
          <w:p ns2:paraId="024AAA03" ns2:textId="66462646" w:rsidR="00C352F9" w:rsidRPr="007B60D2" w:rsidRDefault="00C352F9" w:rsidP="00B1272E">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p>
        </w:tc>
      </w:tr>
      <w:tr w:rsidR="00C352F9" w:rsidRPr="007B60D2" ns2:paraId="73739867" ns2:textId="77777777" w:rsidTr="00B867D9">
        <w:tc>
          <w:tcPr>
            <w:tcW w:w="1838" w:type="dxa"/>
          </w:tcPr>
          <w:p ns2:paraId="21AC7703" ns2:textId="7CC4F0C9" w:rsidR="00C352F9" w:rsidRPr="007B60D2" w:rsidRDefault="00C352F9" w:rsidP="00C352F9">
            <w:pPr>
              <w:rPr>
                <w:rFonts w:ascii="Times New Roman" w:hAnsi="Times New Roman" w:cs="Times New Roman"/>
              </w:rPr>
            </w:pPr>
            <w:r w:rsidRPr="007B60D2">
              <w:rPr>
                <w:rFonts w:ascii="Times New Roman" w:hAnsi="Times New Roman" w:cs="Times New Roman"/>
              </w:rPr>
              <w:t>member 2</w:t>
            </w:r>
          </w:p>
        </w:tc>
        <w:tc>
          <w:tcPr>
            <w:tcW w:w="3119" w:type="dxa"/>
          </w:tcPr>
          <w:p ns2:paraId="705E7004" ns2:textId="601F7CBE"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p>
        </w:tc>
        <w:tc>
          <w:tcPr>
            <w:tcW w:w="4059" w:type="dxa"/>
          </w:tcPr>
          <w:p ns2:paraId="71FC3469" ns2:textId="2C372738"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p>
        </w:tc>
      </w:tr>
      <w:tr w:rsidR="00C352F9" w:rsidRPr="007B60D2" ns2:paraId="29D79357" ns2:textId="77777777" w:rsidTr="00B867D9">
        <w:tc>
          <w:tcPr>
            <w:tcW w:w="1838" w:type="dxa"/>
          </w:tcPr>
          <w:p ns2:paraId="34AA95CA" ns2:textId="3DF2C388" w:rsidR="00C352F9" w:rsidRPr="007B60D2" w:rsidRDefault="00C352F9" w:rsidP="00C352F9">
            <w:pPr>
              <w:rPr>
                <w:rFonts w:ascii="Times New Roman" w:hAnsi="Times New Roman" w:cs="Times New Roman"/>
              </w:rPr>
            </w:pPr>
            <w:r w:rsidRPr="007B60D2">
              <w:rPr>
                <w:rFonts w:ascii="Times New Roman" w:hAnsi="Times New Roman" w:cs="Times New Roman"/>
              </w:rPr>
              <w:t>member 3</w:t>
            </w:r>
          </w:p>
        </w:tc>
        <w:tc>
          <w:tcPr>
            <w:tcW w:w="3119" w:type="dxa"/>
          </w:tcPr>
          <w:p ns2:paraId="0F412F4B" ns2:textId="2DE09FC4"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p>
        </w:tc>
        <w:tc>
          <w:tcPr>
            <w:tcW w:w="4059" w:type="dxa"/>
          </w:tcPr>
          <w:p ns2:paraId="52BFF99B" ns2:textId="5AE85660"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p>
        </w:tc>
      </w:tr>
      <w:tr w:rsidR="00C352F9" w:rsidRPr="007B60D2" ns2:paraId="4EABFAE7" ns2:textId="77777777" w:rsidTr="00B867D9">
        <w:tc>
          <w:tcPr>
            <w:tcW w:w="1838" w:type="dxa"/>
          </w:tcPr>
          <w:p ns2:paraId="4E3C36E3" ns2:textId="6FB6688B" w:rsidR="00C352F9" w:rsidRPr="007B60D2" w:rsidRDefault="00C352F9" w:rsidP="00C352F9">
            <w:pPr>
              <w:rPr>
                <w:rFonts w:ascii="Times New Roman" w:hAnsi="Times New Roman" w:cs="Times New Roman"/>
              </w:rPr>
            </w:pPr>
            <w:r w:rsidRPr="007B60D2">
              <w:rPr>
                <w:rFonts w:ascii="Times New Roman" w:hAnsi="Times New Roman" w:cs="Times New Roman"/>
              </w:rPr>
              <w:t>member 4</w:t>
            </w:r>
          </w:p>
        </w:tc>
        <w:tc>
          <w:tcPr>
            <w:tcW w:w="3119" w:type="dxa"/>
          </w:tcPr>
          <w:p ns2:paraId="77128AD6" ns2:textId="5B96B32F"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p>
        </w:tc>
        <w:tc>
          <w:tcPr>
            <w:tcW w:w="4059" w:type="dxa"/>
          </w:tcPr>
          <w:p ns2:paraId="1D6534EC" ns2:textId="1E468236"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p>
        </w:tc>
      </w:tr>
      <w:tr w:rsidR="00C352F9" w:rsidRPr="007B60D2" ns2:paraId="53E029D4" ns2:textId="77777777" w:rsidTr="00B867D9">
        <w:tc>
          <w:tcPr>
            <w:tcW w:w="1838" w:type="dxa"/>
          </w:tcPr>
          <w:p ns2:paraId="36C56076" ns2:textId="2C438EBD" w:rsidR="00C352F9" w:rsidRPr="007B60D2" w:rsidRDefault="00C352F9" w:rsidP="00C352F9">
            <w:pPr>
              <w:rPr>
                <w:rFonts w:ascii="Times New Roman" w:hAnsi="Times New Roman" w:cs="Times New Roman"/>
              </w:rPr>
            </w:pPr>
            <w:r w:rsidRPr="007B60D2">
              <w:rPr>
                <w:rFonts w:ascii="Times New Roman" w:hAnsi="Times New Roman" w:cs="Times New Roman"/>
              </w:rPr>
              <w:t>member 5</w:t>
            </w:r>
          </w:p>
        </w:tc>
        <w:tc>
          <w:tcPr>
            <w:tcW w:w="3119" w:type="dxa"/>
          </w:tcPr>
          <w:p ns2:paraId="4D1261F6" ns2:textId="0EA72600"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p>
        </w:tc>
        <w:tc>
          <w:tcPr>
            <w:tcW w:w="4059" w:type="dxa"/>
          </w:tcPr>
          <w:p ns2:paraId="55450510" ns2:textId="11FE0339"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p>
        </w:tc>
      </w:tr>
      <w:tr w:rsidR="00C352F9" w:rsidRPr="007B60D2" ns2:paraId="046FC406" ns2:textId="77777777" w:rsidTr="00B867D9">
        <w:tc>
          <w:tcPr>
            <w:tcW w:w="1838" w:type="dxa"/>
          </w:tcPr>
          <w:p ns2:paraId="59B17CE3" ns2:textId="0F923254" w:rsidR="00C352F9" w:rsidRPr="007B60D2" w:rsidRDefault="00C352F9" w:rsidP="00C352F9">
            <w:pPr>
              <w:rPr>
                <w:rFonts w:ascii="Times New Roman" w:hAnsi="Times New Roman" w:cs="Times New Roman"/>
              </w:rPr>
            </w:pPr>
            <w:r w:rsidRPr="007B60D2">
              <w:rPr>
                <w:rFonts w:ascii="Times New Roman" w:hAnsi="Times New Roman" w:cs="Times New Roman"/>
              </w:rPr>
              <w:t>member 6</w:t>
            </w:r>
          </w:p>
        </w:tc>
        <w:tc>
          <w:tcPr>
            <w:tcW w:w="3119" w:type="dxa"/>
          </w:tcPr>
          <w:p ns2:paraId="0910E643" ns2:textId="429015DD"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p>
        </w:tc>
        <w:tc>
          <w:tcPr>
            <w:tcW w:w="4059" w:type="dxa"/>
          </w:tcPr>
          <w:p ns2:paraId="685E4AFD" ns2:textId="58CE5E9F"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p>
        </w:tc>
      </w:tr>
    </w:tbl>
    <w:p ns2:paraId="513C2977" ns2:textId="6CA7AD57" w:rsidR="00D842F8" w:rsidRPr="007B60D2" w:rsidRDefault="005020E9" w:rsidP="00D842F8">
      <w:pPr>
        <w:pStyle w:val="Heading1"/>
        <w:rPr>
          <w:rFonts w:ascii="Times New Roman" w:hAnsi="Times New Roman" w:cs="Times New Roman"/>
        </w:rPr>
      </w:pPr>
      <w:r>
        <w:rPr>
          <w:rFonts w:ascii="Times New Roman" w:hAnsi="Times New Roman" w:cs="Times New Roman"/>
        </w:rPr>
        <w:t>Final short</w:t>
      </w:r>
      <w:r w:rsidR="00D842F8" w:rsidRPr="007B60D2">
        <w:rPr>
          <w:rFonts w:ascii="Times New Roman" w:hAnsi="Times New Roman" w:cs="Times New Roman"/>
        </w:rPr>
        <w:t xml:space="preserve"> report</w:t>
      </w:r>
    </w:p>
    <w:p ns2:paraId="2C9BDE9B" ns2:textId="16979E86" w:rsidR="004708F1" w:rsidRPr="007B60D2" w:rsidRDefault="00BD7B1B" w:rsidP="00B3457D">
      <w:pPr>
        <w:pStyle w:val="Heading2"/>
        <w:numPr>
          <w:ilvl w:val="0"/>
          <w:numId w:val="1"/>
        </w:numPr>
        <w:ind w:left="284"/>
        <w:rPr>
          <w:rFonts w:ascii="Times New Roman" w:hAnsi="Times New Roman" w:cs="Times New Roman"/>
        </w:rPr>
      </w:pPr>
      <w:r w:rsidRPr="007B60D2">
        <w:rPr>
          <w:rFonts w:ascii="Times New Roman" w:hAnsi="Times New Roman" w:cs="Times New Roman"/>
        </w:rPr>
        <w:t>1. Design</w:t>
      </w:r>
    </w:p>
    <w:p>
      <w:r>
        <w:rPr>
          <w:b/>
        </w:rPr>
        <w:t>Design strategy</w:t>
      </w:r>
    </w:p>
    <w:p>
      <w:r>
        <w:t>The system was designed as a lightweight web-based Teaching Assistant recruitment management system for BUPT International School. The main design goal was to satisfy the user stories for three roles - Teaching Assistant (TA), Module Organiser (MO), and Administrator (AD) - while keeping the technology stack simple enough for a course project and easy to run on a local machine. Instead of using a heavy web framework or database, the project uses Java built-in HTTP server APIs, JSON file persistence, and static HTML/JavaScript pages. This strategy reduces deployment complexity, makes the system transparent for assessment, and allows each user story to be traced directly to pages, REST endpoints, data files, and tests.</w:t>
      </w:r>
    </w:p>
    <w:p>
      <w:r>
        <w:rPr>
          <w:b/>
        </w:rPr>
        <w:t>Architectural design</w:t>
      </w:r>
    </w:p>
    <w:p>
      <w:r>
        <w:t>The project follows a simple layered client-server architecture. The frontend layer contains role-specific static pages in the TA, MO, and admin folders. Each page uses shared API helper functions from js/api.js for authentication tokens, HTTP requests, file upload, logout, status badges, date formatting, and common toast feedback. The backend layer is a Java HTTP server started from Main.java. It registers contexts for authentication, jobs, applications, drafts, administration, uploads, notifications, and static file serving. The persistence layer is DataService, which stores and retrieves structured data from JSON files in the data folder and uploaded documents from the uploads folder.</w:t>
      </w:r>
    </w:p>
    <w:p>
      <w:r>
        <w:t>This separation gives the project a clear responsibility boundary. The frontend is responsible for presentation, form interaction, client-side validation, navigation, and local user-experience support such as previewing PDF files and remembering locally generated deadline reminders. The backend is responsible for access control, business rules, data validation, role-scoped queries, and durable data storage. The data layer centralises JSON read/write logic so that handlers do not manipulate files directly.</w:t>
      </w:r>
    </w:p>
    <w:p>
      <w:r>
        <w:rPr>
          <w:b/>
        </w:rPr>
        <w:t>Component design</w:t>
      </w:r>
    </w:p>
    <w:p>
      <w:r>
        <w:t>The backend is divided into handlers that map closely to business capabilities. AuthHandler manages login, registration, profile update, password change, and password-reset requests. JobHandler manages job browsing, job creation and editing, applications to jobs, and retrieval of applications for a job. ApplicationHandler manages role-scoped application listing, application detail, and status transitions such as approval, rejection, and withdrawal. DraftHandler manages server-side TA application drafts so users can continue unfinished applications from another browser session. UploadHandler manages PDF upload and download. NotificationHandler manages user notifications and read status. AdminHandler contains administrative functions such as user management, workload statistics, audit logs, system settings, export tasks, bulk notifications, and password-reset processing.</w:t>
      </w:r>
    </w:p>
    <w:p>
      <w:r>
        <w:t>The main data models are User, Job, Application, ApplicationDraft, Notification, PasswordResetRequest, AuditLog, ExportTask, and AdminRoleTemplate. These models keep the JSON structure explicit and readable. For example, Application stores the applicant, target job, CV filename, cover letter, status, priority preference, and timestamps. Job stores the job type, course information, quota, schedule, weekly hours, deadline, and type-specific fields for course TA, lab TA, final exam TA, and class test TA work.</w:t>
      </w:r>
    </w:p>
    <w:p>
      <w:r>
        <w:rPr>
          <w:b/>
        </w:rPr>
        <w:t>TA-side user experience design</w:t>
      </w:r>
    </w:p>
    <w:p>
      <w:r>
        <w:t>The TA portal is designed around the main applicant workflow: maintain profile, browse vacancies, review job details, submit an application with CV, save drafts, track application status, receive reminders, and withdraw pending applications when necessary. The profile page supports auto-fill readiness so applicants understand whether their personal information is complete enough for future forms. The recruitment list presents open roles with deadline status, total hours, schedule details, quota, and job type badges. The application form combines profile-based pre-fill, server-side draft saving, PDF upload/preview, and preference priority selection. The dashboard summarises applications, pending status, approved applications, saved drafts, open positions, recent applications, and deadline reminders.</w:t>
      </w:r>
    </w:p>
    <w:p>
      <w:r>
        <w:rPr>
          <w:b/>
        </w:rPr>
        <w:t>Design principles and patterns</w:t>
      </w:r>
    </w:p>
    <w:p>
      <w:r>
        <w:t>Several principles guided the design. First, role-based separation keeps each user interface focused: TA pages avoid administrative complexity, MO pages focus on job and applicant review, and admin pages focus on oversight. Second, server-side authority is used for critical business rules. The frontend may hide invalid actions, but the backend still enforces permissions, priority limits, upload validation, and withdrawal rules. Third, progressive enhancement is used for user experience. Features such as local PDF preview, dashboard search, and local read state for generated deadline reminders improve usability but do not replace backend data integrity. Fourth, simple REST-style endpoints make the system easy to test and reason about. Finally, the project uses reusable helper functions in api.js to reduce repeated authentication and request-handling code across pages.</w:t>
      </w:r>
    </w:p>
    <w:p>
      <w:r>
        <w:t>The main pattern is a pragmatic Model-Service-Handler structure. Model classes define data shapes, DataService acts as a repository/service layer, and each handler acts like a controller for a group of HTTP endpoints. On the frontend, pages are not implemented as a single-page application; instead, each page is a self-contained view using the same shared API utility. This matches the course requirement for a simple system and makes the user stories easy to demonstrate individually.</w:t>
      </w:r>
    </w:p>
    <w:p ns2:paraId="3502D50D" ns2:textId="742D763E" w:rsidR="004708F1" w:rsidRPr="007B60D2" w:rsidRDefault="00C921D9" w:rsidP="00B3457D">
      <w:pPr>
        <w:pStyle w:val="Heading2"/>
        <w:numPr>
          <w:ilvl w:val="0"/>
          <w:numId w:val="1"/>
        </w:numPr>
        <w:ind w:left="284"/>
        <w:rPr>
          <w:rFonts w:ascii="Times New Roman" w:hAnsi="Times New Roman" w:cs="Times New Roman"/>
        </w:rPr>
      </w:pPr>
      <w:r w:rsidRPr="007B60D2">
        <w:rPr>
          <w:rFonts w:ascii="Times New Roman" w:hAnsi="Times New Roman" w:cs="Times New Roman"/>
        </w:rPr>
        <w:t>2. Implementation</w:t>
      </w:r>
    </w:p>
    <w:p>
      <w:r>
        <w:rPr>
          <w:b/>
        </w:rPr>
        <w:t>Implementation strategy</w:t>
      </w:r>
    </w:p>
    <w:p>
      <w:r>
        <w:t>The implementation was carried out incrementally according to the user stories and role boundaries. The group first built the core skeleton: Java server startup, static file serving, shared API utilities, JSON data files, and basic login/registration. After that, each role was expanded around its main workflow. For the TA side, the implementation focused on profile management, vacancy browsing, CV upload, application submission, draft saving, status tracking, deadline reminders, and withdrawal. For the MO side, the focus was job posting, job editing, applicant review, CV review, and approval/rejection. For the admin side, the focus was user management, job oversight, workload statistics, audit logs, settings, exports, password reset handling, and system notifications.</w:t>
      </w:r>
    </w:p>
    <w:p>
      <w:r>
        <w:t>The project uses a deliberately simple stack: Java 11+ with com.sun.net.httpserver.HttpServer, Gson for JSON serialisation, static HTML pages with Tailwind CSS via CDN, Iconify icons, and ECharts for statistical pages. The system can be built and run on Windows using build.bat and run.bat. This implementation strategy avoids external application-server configuration and database setup, which is suitable for a short university group project and supports quick demonstration by assessors.</w:t>
      </w:r>
    </w:p>
    <w:p>
      <w:r>
        <w:rPr>
          <w:b/>
        </w:rPr>
        <w:t>Backend implementation</w:t>
      </w:r>
    </w:p>
    <w:p>
      <w:r>
        <w:t>Main.java creates the HTTP server, initialises DataService, registers all API contexts, and starts a fixed thread pool. DataService creates the data and uploads folders if required, seeds default users and demonstration data, manages in-memory sessions, and provides synchronised methods for reading and writing JSON files. The handlers use DataService rather than directly accessing files. This keeps endpoint code focused on HTTP parsing, role checks, validation, and response formatting.</w:t>
      </w:r>
    </w:p>
    <w:p>
      <w:r>
        <w:t>Authentication is token-based. After successful login or registration, DataService creates a session token and the frontend stores it in localStorage. api.js attaches the token to later requests using an Authorization header. The backend authenticate method resolves the token to a User object. Role checks are performed in each handler. For example, only TA users can submit applications and drafts, MO users can only manage their own job postings, and admin-only operations require an ADMIN account. Additional checks are used for sensitive operations, such as password reset approval and user management.</w:t>
      </w:r>
    </w:p>
    <w:p>
      <w:r>
        <w:t>Important business rules are implemented on the backend. TA application priority must be 1, 2, or 3. A TA can have at most three active applications. Rejected and withdrawn applications are not counted as active, so their priority ranks can be reused. Duplicate active priorities are rejected. TA withdrawal is allowed only for pending applications, preventing users from withdrawing an already approved or rejected application. UploadHandler validates PDF uploads and rejects non-PDF files, invalid base64 payloads, and empty files. These rules make the backend reliable even if a user bypasses the frontend UI.</w:t>
      </w:r>
    </w:p>
    <w:p>
      <w:r>
        <w:rPr>
          <w:b/>
        </w:rPr>
        <w:t>Frontend implementation</w:t>
      </w:r>
    </w:p>
    <w:p>
      <w:r>
        <w:t>The frontend is organised by role. The TA folder contains login, dashboard, recruitment list, recruitment detail, application form, application success, application status detail, personal information, notifications, and forgot-password pages. The MO folder contains pages for job management, applicant review, statistics, messages, and personal centre. The admin folder contains pages for dashboard, user management, job supervision, workload overview, basic statistics, audit logs, password resets, and settings.</w:t>
      </w:r>
    </w:p>
    <w:p>
      <w:r>
        <w:t>The TA application form is one of the most complete workflows. It loads the selected job, checks whether recruitment is still open, pre-fills personal information from the TA profile, lets the user choose a priority rank, accepts only PDF CV files, supports preview, saves draft data to the backend, caches resume drafts locally for convenience, and submits the final application to the backend. After successful submission, local draft data is cleared and the user is redirected to the application list. This implementation supports both functional correctness and a smooth applicant experience.</w:t>
      </w:r>
    </w:p>
    <w:p>
      <w:r>
        <w:t>Several later refinements improved usability without changing the overall visual style. The TA dashboard now displays saved drafts and allows users to continue unfinished applications directly. The recruitment list includes summary cards for open positions, closing-soon positions, and total quota. Job cards show job type badges and clearer empty states. My Applications includes summary cards and a Withdrawn filter. The Profile page includes profile-completeness feedback, auto-fill readiness indicators, cleaned-up school options, and a loading state for saving changes. These improvements keep the same blue-white-grey visual language, rounded cards, and icon style used throughout the TA portal.</w:t>
      </w:r>
    </w:p>
    <w:p>
      <w:r>
        <w:rPr>
          <w:b/>
        </w:rPr>
        <w:t>Build plan and deployment</w:t>
      </w:r>
    </w:p>
    <w:p>
      <w:r>
        <w:t>The build plan is intentionally lightweight. The build.bat script compiles model, service, handler, and main Java source files into the out folder using javac with UTF-8 encoding and Gson on the classpath. The run.bat script starts the server and prints the local URLs for the TA, MO, and admin portals. In PowerShell, the scripts are run as .\build.bat and .\run.bat. The default server port is 8080, with an optional custom port argument. Because the frontend is served by StaticHandler from the same project folder, no separate frontend build step is needed.</w:t>
      </w:r>
    </w:p>
    <w:p>
      <w:r>
        <w:rPr>
          <w:b/>
        </w:rPr>
        <w:t>Version control and collaboration</w:t>
      </w:r>
    </w:p>
    <w:p>
      <w:r>
        <w:t>Git was used to support collaboration and traceability. The project is divided into role-specific directories and backend packages, allowing members to work on TA, MO, admin, handlers, models, and tests with fewer conflicts. Changes were committed incrementally with descriptions tied to user stories, such as TA draft recovery, TA upload validation, withdrawal rules, and UI improvements. Version control also helped compare Test_Version_01 and Test_Version_02, preserve a working baseline, and review later refinements before merging. Generated files and runtime data need careful handling because JSON demo data and compiled class files can change after running or building the project; this was considered when preparing commits.</w:t>
      </w:r>
    </w:p>
    <w:p ns2:paraId="616C500A" ns2:textId="1BE75BF5" w:rsidR="004708F1" w:rsidRPr="007B60D2" w:rsidRDefault="006A4FDB" w:rsidP="00B3457D">
      <w:pPr>
        <w:pStyle w:val="Heading2"/>
        <w:numPr>
          <w:ilvl w:val="0"/>
          <w:numId w:val="1"/>
        </w:numPr>
        <w:ind w:left="284"/>
        <w:rPr>
          <w:rFonts w:ascii="Times New Roman" w:hAnsi="Times New Roman" w:cs="Times New Roman"/>
        </w:rPr>
      </w:pPr>
      <w:r w:rsidRPr="007B60D2">
        <w:rPr>
          <w:rFonts w:ascii="Times New Roman" w:hAnsi="Times New Roman" w:cs="Times New Roman"/>
        </w:rPr>
        <w:t>3. Testing</w:t>
      </w:r>
    </w:p>
    <w:p>
      <w:r>
        <w:rPr>
          <w:b/>
        </w:rPr>
        <w:t>Testing strategy</w:t>
      </w:r>
    </w:p>
    <w:p>
      <w:r>
        <w:t>The testing strategy combines story-based unit testing, handler-level HTTP simulation, data-service testing, and manual end-to-end verification in the browser. Because the backend is built on Java HttpServer rather than a full framework, the group created TestHttpExchange to simulate HTTP requests and responses. This allows handlers to be tested without starting the server or using a browser. The tests are organised around user stories and roles, for example TaAuthStoriesTest, TaApplicationFlowTest, TaApplicationAccessAndNotificationTest, TaDataServiceStoriesTest, MoAuthStoriesTest, MoJobManagementStoriesTest, MoApplicantReviewStoriesTest, AdUserManagementStoriesTest, AdJobOversightStoriesTest, AdWorkloadAndStatsStoriesTest, and AdSystemOperationsStoriesTest.</w:t>
      </w:r>
    </w:p>
    <w:p>
      <w:r>
        <w:t>The testing approach focuses on both positive and negative cases. Positive tests check that valid actions succeed and persist data correctly. Negative tests check that invalid data, wrong roles, unauthorised users, duplicate priorities, and invalid state transitions are rejected. This is important because frontend controls alone are not sufficient: users can bypass a page, send requests manually, or manipulate localStorage. Therefore, the backend tests verify that business rules and role checks are enforced server-side.</w:t>
      </w:r>
    </w:p>
    <w:p>
      <w:r>
        <w:rPr>
          <w:b/>
        </w:rPr>
        <w:t>Test case design</w:t>
      </w:r>
    </w:p>
    <w:p>
      <w:r>
        <w:t>Authentication tests cover TA and MO registration, login, portal-role rejection, password change with correct current password, password change rejection with wrong current password, and password-reset request creation. These tests confirm that users can access the correct portal and that sensitive password operations require verification. Profile tests verify that personal information such as full name, phone, gender, school, supervisor, degree, and year of study is persisted through DataService.</w:t>
      </w:r>
    </w:p>
    <w:p>
      <w:r>
        <w:t>Application-flow tests cover TA priority rules and withdrawal. Examples include rejecting priority values outside 1-3, rejecting duplicate active priority ranks, rejecting a fourth active application, allowing a TA to withdraw their own pending application, rejecting withdrawal of another TA user application, and rejecting withdrawal of non-pending applications. A later refinement added a test confirming that WITHDRAWN and REJECTED applications are not counted as active, allowing their priority ranks to be reused. This directly supports the TA_12 preference-selection story.</w:t>
      </w:r>
    </w:p>
    <w:p>
      <w:r>
        <w:t>Draft tests cover TA_09 save-as-draft behaviour. They verify that saving a draft for the same user and job overwrites the previous draft, that job IDs are normalised when deleting drafts, and that the dashboard draft-list endpoint returns only the current user drafts with related job information. These tests support the cross-device/server-side draft feature and ensure that one TA cannot see another TA user unfinished application.</w:t>
      </w:r>
    </w:p>
    <w:p>
      <w:r>
        <w:t>Upload tests cover TA_03 integrated CV submission and document handling. DataService tests confirm that uploaded filenames are sanitised and file bytes can be retrieved unchanged. Additional API-level tests confirm that the upload endpoint rejects non-PDF files, invalid base64 payloads, and empty file content. These cases protect the application from common invalid submissions and make the upload workflow more robust than frontend-only validation.</w:t>
      </w:r>
    </w:p>
    <w:p>
      <w:r>
        <w:t>Notification and access tests cover TA_10 and TA_07-related behaviour. Application listing returns only the current TA user applications. Application details reject access by other TA users. Notifications are returned only for the current user, sorted correctly, and can be marked as read individually or all at once. Deadline reminders are generated dynamically on the TA dashboard and notifications page from live job deadlines, and frontend-generated reminders are deduplicated by job. Their local read state is stored in browser localStorage because they are derived reminders rather than administrator-created backend notifications.</w:t>
      </w:r>
    </w:p>
    <w:p>
      <w:r>
        <w:rPr>
          <w:b/>
        </w:rPr>
        <w:t>Manual testing</w:t>
      </w:r>
    </w:p>
    <w:p>
      <w:r>
        <w:t>Manual browser testing was used to confirm integrated workflows that are difficult to verify with handler-level tests alone. Example scenarios included logging in as a seeded TA account, editing profile information, uploading and previewing a PDF CV, saving an application draft, refreshing the page to restore the draft, continuing the draft from the dashboard, submitting an application, checking My Applications, withdrawing a pending application, viewing deadline reminders, and changing the password from the Profile page. MO and admin workflows were also manually checked to ensure submitted applications can be reviewed and system data can be inspected.</w:t>
      </w:r>
    </w:p>
    <w:p>
      <w:r>
        <w:rPr>
          <w:b/>
        </w:rPr>
        <w:t>Test results and quality observations</w:t>
      </w:r>
    </w:p>
    <w:p>
      <w:r>
        <w:t>The Java backend compilation passed after the final TA-side changes. The TA-focused regression suite passed with 27 successful tests and 0 failures after the latest refinements. These tests covered authentication, profile persistence, CV upload validation, draft recovery, application access control, notification read status, priority constraints, and withdrawal rules. Earlier full-suite runs showed that the wider project also has broad story-level coverage across TA, MO, and admin features. A known lesson from testing was that frontend visibility is not enough for correctness: for example, the Withdraw button was originally only shown for pending applications, but a backend test revealed the need to enforce the same rule server-side. This led to a stronger implementation.</w:t>
      </w:r>
    </w:p>
    <w:p>
      <w:r>
        <w:t>Overall, the testing strategy improved the reliability of the system by connecting user stories to executable tests. It also supported safe refactoring and UI improvement: after enhancing TA pages, backend compilation and TA regression tests confirmed that the core behaviour remained stable.</w:t>
      </w:r>
    </w:p>
    <w:p ns2:paraId="43E4F58A" ns2:textId="01A11A70" w:rsidR="0062598B" w:rsidRPr="007B60D2" w:rsidRDefault="0062598B" w:rsidP="0062598B">
      <w:pPr>
        <w:pStyle w:val="Heading2"/>
        <w:numPr>
          <w:ilvl w:val="0"/>
          <w:numId w:val="1"/>
        </w:numPr>
        <w:ind w:left="284"/>
        <w:rPr>
          <w:rFonts w:ascii="Times New Roman" w:hAnsi="Times New Roman" w:cs="Times New Roman"/>
        </w:rPr>
      </w:pPr>
      <w:r>
        <w:rPr>
          <w:rFonts w:ascii="Times New Roman" w:hAnsi="Times New Roman" w:cs="Times New Roman"/>
        </w:rPr>
        <w:t>4. The use of Generative AI (GenAI)</w:t>
      </w:r>
    </w:p>
    <w:p>
      <w:r>
        <w:rPr>
          <w:b/>
        </w:rPr>
        <w:t>GenAI tools and stages of use</w:t>
      </w:r>
    </w:p>
    <w:p>
      <w:r>
        <w:t>Generative AI was used as a development-support tool during several stages of the project, especially analysis, implementation refinement, testing, UI improvement, and report drafting. The main use was conversational assistance for reading the existing codebase, mapping implemented features to user stories, identifying weak acceptance-criteria coverage, suggesting test cases, improving user interface consistency, and drafting written explanations. GenAI was not treated as an automatic replacement for engineering judgement; suggested code and report content were reviewed, adapted to the project structure, and verified using compilation and tests.</w:t>
      </w:r>
    </w:p>
    <w:p>
      <w:r>
        <w:t>During requirements and design analysis, GenAI helped compare the TA user stories with the existing implementation. It identified that most TA stories were already implemented but some acceptance criteria could be strengthened, such as dashboard recovery for saved drafts, backend enforcement of withdrawal rules, priority reuse after inactive applications, upload validation, and deadline reminder read-state behaviour. This was useful because the system had many pages and handlers, and manually tracing all stories across frontend, backend, data files, and tests was time-consuming.</w:t>
      </w:r>
    </w:p>
    <w:p>
      <w:r>
        <w:t>During implementation, GenAI was used to propose small, localised changes that matched the existing architecture. Examples include adding a GET /api/drafts/applications endpoint, adding a Saved Drafts panel to the TA dashboard, improving backend validation for withdrawals and PDF uploads, and refining TA pages without changing the overall visual style. GenAI also helped produce consistent UI text and interaction patterns, such as clearer empty states, status summary cards, profile-completeness feedback, and read-only auto-fill readiness indicators.</w:t>
      </w:r>
    </w:p>
    <w:p>
      <w:r>
        <w:t>During testing, GenAI helped design additional edge cases. For example, it suggested tests for non-pending withdrawal rejection, priority reuse when previous applications are WITHDRAWN or REJECTED, and upload rejection for non-PDF, invalid base64, and empty files. These test ideas were valuable because they focused on boundary cases that are often missed when only testing the normal user journey. The actual test results were then verified by running javac and the JUnit console test runner rather than assuming the generated suggestions were correct.</w:t>
      </w:r>
    </w:p>
    <w:p>
      <w:r>
        <w:rPr>
          <w:b/>
        </w:rPr>
        <w:t>Effectiveness</w:t>
      </w:r>
    </w:p>
    <w:p>
      <w:r>
        <w:t>The most effective use of GenAI was as a code-review and coverage-analysis assistant. It quickly summarised the project structure, explained how frontend pages connected to backend handlers, and highlighted where implementation and acceptance criteria did not fully align. It also helped transform vague improvement goals into concrete, limited changes that were realistic for the existing system. For example, instead of redesigning the TA portal from scratch, the UI improvements preserved the existing blue-white-grey style and added clearer feedback, search behaviour, and status summaries. This made the work more efficient and reduced the risk of disrupting other parts of the project.</w:t>
      </w:r>
    </w:p>
    <w:p>
      <w:r>
        <w:t>GenAI was also effective for documentation. It helped convert technical implementation details into report-ready descriptions of architecture, components, testing strategy, and limitations. This saved time and made the final explanation more structured. However, the group still needed to ensure that every statement matched the actual repository, because generated text can sometimes sound plausible even when it is not fully accurate.</w:t>
      </w:r>
    </w:p>
    <w:p>
      <w:r>
        <w:rPr>
          <w:b/>
        </w:rPr>
        <w:t>Limitations and challenges</w:t>
      </w:r>
    </w:p>
    <w:p>
      <w:r>
        <w:t>The main limitation of GenAI is that it can make incorrect assumptions if it has not inspected the actual project files. For this reason, outputs had to be grounded in the real codebase. Another limitation is that GenAI may propose changes that are larger than necessary or inconsistent with the existing visual style. In this project, UI suggestions had to be constrained so that the TA pages remained consistent with the MO and admin pages. GenAI also cannot replace running tests: code that looks correct may still fail due to Java syntax, missing imports, routing details, or existing data behaviour.</w:t>
      </w:r>
    </w:p>
    <w:p>
      <w:r>
        <w:t>There are also project-management challenges. If GenAI-generated changes are committed without review, they may introduce unrelated refactoring, excessive complexity, or documentation that exaggerates the system capability. To reduce this risk, the group used GenAI outputs selectively, kept changes small, checked diffs before committing, and verified important behaviour through automated tests or manual browser testing. Runtime JSON data and compiled class files also needed attention because running the system or tests can change files that are not part of the intended feature change.</w:t>
      </w:r>
    </w:p>
    <w:p>
      <w:r>
        <w:rPr>
          <w:b/>
        </w:rPr>
        <w:t>Responsible use</w:t>
      </w:r>
    </w:p>
    <w:p>
      <w:r>
        <w:t>The group used GenAI responsibly by treating it as an assistant rather than an author of unverified work. It supported brainstorming, code reading, test-case generation, wording, and consistency checks, but final responsibility remained with the developers. Suggestions were reviewed against the user stories, the existing architecture, and the actual behaviour of the system. Where GenAI helped produce code, the code was compiled and tested. Where it helped produce report text, the content was checked against the implemented features. This approach allowed the team to benefit from GenAI while still maintaining ownership and understanding of the project.</w:t>
      </w:r>
    </w:p>
    <w:p ns2:paraId="2E11252D" ns2:textId="350D995C" w:rsidR="00475F22" w:rsidRPr="00300EA4" w:rsidRDefault="00CB5D6A" w:rsidP="004708F1">
      <w:pPr>
        <w:rPr>
          <w:rFonts w:ascii="Times New Roman" w:hAnsi="Times New Roman" w:cs="Times New Roman"/>
          <w:color w:val="FF0000"/>
        </w:rPr>
      </w:pPr>
      <w:r w:rsidRPr="00300EA4">
        <w:rPr>
          <w:rFonts w:ascii="Times New Roman" w:hAnsi="Times New Roman" w:cs="Times New Roman"/>
          <w:color w:val="FF0000"/>
        </w:rPr>
        <w:t xml:space="preserve">To </w:t>
      </w:r>
      <w:proofErr w:type="gramStart"/>
      <w:r w:rsidRPr="00300EA4">
        <w:rPr>
          <w:rFonts w:ascii="Times New Roman" w:hAnsi="Times New Roman" w:cs="Times New Roman"/>
          <w:color w:val="FF0000"/>
        </w:rPr>
        <w:t>here  -</w:t>
      </w:r>
      <w:proofErr w:type="gramEnd"/>
      <w:r w:rsidRPr="00300EA4">
        <w:rPr>
          <w:rFonts w:ascii="Times New Roman" w:hAnsi="Times New Roman" w:cs="Times New Roman"/>
          <w:color w:val="FF0000"/>
        </w:rPr>
        <w:t xml:space="preserve"> </w:t>
      </w:r>
      <w:r w:rsidR="00475F22" w:rsidRPr="00300EA4">
        <w:rPr>
          <w:rFonts w:ascii="Times New Roman" w:hAnsi="Times New Roman" w:cs="Times New Roman"/>
          <w:color w:val="FF0000"/>
        </w:rPr>
        <w:t>No more than 1</w:t>
      </w:r>
      <w:r w:rsidR="002C4326">
        <w:rPr>
          <w:rFonts w:ascii="Times New Roman" w:hAnsi="Times New Roman" w:cs="Times New Roman"/>
          <w:color w:val="FF0000"/>
        </w:rPr>
        <w:t>0</w:t>
      </w:r>
      <w:r w:rsidR="00475F22" w:rsidRPr="00300EA4">
        <w:rPr>
          <w:rFonts w:ascii="Times New Roman" w:hAnsi="Times New Roman" w:cs="Times New Roman"/>
          <w:color w:val="FF0000"/>
        </w:rPr>
        <w:t xml:space="preserve"> pages</w:t>
      </w:r>
      <w:r w:rsidR="00150F22" w:rsidRPr="00300EA4">
        <w:rPr>
          <w:rFonts w:ascii="Times New Roman" w:hAnsi="Times New Roman" w:cs="Times New Roman"/>
          <w:color w:val="FF0000"/>
        </w:rPr>
        <w:t xml:space="preserve"> including </w:t>
      </w:r>
      <w:r w:rsidR="00D470B8" w:rsidRPr="00300EA4">
        <w:rPr>
          <w:rFonts w:ascii="Times New Roman" w:hAnsi="Times New Roman" w:cs="Times New Roman"/>
          <w:color w:val="FF0000"/>
        </w:rPr>
        <w:t>tables, charts, figures and diagrams you may have.</w:t>
      </w:r>
    </w:p>
    <w:p ns2:paraId="2997A19D" ns2:textId="71740691" w:rsidR="004708F1" w:rsidRPr="007B60D2" w:rsidRDefault="00F0088C" w:rsidP="00D842F8">
      <w:pPr>
        <w:pStyle w:val="Heading1"/>
        <w:rPr>
          <w:rFonts w:ascii="Times New Roman" w:hAnsi="Times New Roman" w:cs="Times New Roman"/>
        </w:rPr>
      </w:pPr>
      <w:r w:rsidRPr="007B60D2">
        <w:rPr>
          <w:rFonts w:ascii="Times New Roman" w:hAnsi="Times New Roman" w:cs="Times New Roman"/>
        </w:rPr>
        <w:t>Individual contribution and reflection</w:t>
      </w:r>
    </w:p>
    <w:p ns2:paraId="391FD8DB" ns2:textId="0FA1FFF7" w:rsidR="004708F1" w:rsidRPr="007B60D2" w:rsidRDefault="00A26720" w:rsidP="004708F1">
      <w:pPr>
        <w:rPr>
          <w:rFonts w:ascii="Times New Roman" w:hAnsi="Times New Roman" w:cs="Times New Roman"/>
        </w:rPr>
      </w:pPr>
      <w:r w:rsidRPr="00A26720">
        <w:rPr>
          <w:rFonts w:ascii="Times New Roman" w:hAnsi="Times New Roman" w:cs="Times New Roman"/>
        </w:rPr>
        <w:t>Each group member should provide one paragraph outlining their key contribution to the project (</w:t>
      </w:r>
      <w:r w:rsidRPr="00B338B5">
        <w:rPr>
          <w:rFonts w:ascii="Times New Roman" w:hAnsi="Times New Roman" w:cs="Times New Roman"/>
          <w:b/>
          <w:bCs/>
        </w:rPr>
        <w:t>this must be agreed by the group</w:t>
      </w:r>
      <w:r w:rsidRPr="00A26720">
        <w:rPr>
          <w:rFonts w:ascii="Times New Roman" w:hAnsi="Times New Roman" w:cs="Times New Roman"/>
        </w:rPr>
        <w:t xml:space="preserve">) and another </w:t>
      </w:r>
      <w:r>
        <w:rPr>
          <w:rFonts w:ascii="Times New Roman" w:hAnsi="Times New Roman" w:cs="Times New Roman"/>
        </w:rPr>
        <w:t xml:space="preserve">paragraph </w:t>
      </w:r>
      <w:r w:rsidRPr="00A26720">
        <w:rPr>
          <w:rFonts w:ascii="Times New Roman" w:hAnsi="Times New Roman" w:cs="Times New Roman"/>
        </w:rPr>
        <w:t>reflecting on their learning experience</w:t>
      </w:r>
      <w:r>
        <w:rPr>
          <w:rFonts w:ascii="Times New Roman" w:hAnsi="Times New Roman" w:cs="Times New Roman"/>
        </w:rPr>
        <w:t xml:space="preserve"> (t</w:t>
      </w:r>
      <w:r w:rsidRPr="00A26720">
        <w:rPr>
          <w:rFonts w:ascii="Times New Roman" w:hAnsi="Times New Roman" w:cs="Times New Roman"/>
        </w:rPr>
        <w:t>his should include thoughts on the overall process, challenges encountered, and skills developed</w:t>
      </w:r>
      <w:r>
        <w:rPr>
          <w:rFonts w:ascii="Times New Roman" w:hAnsi="Times New Roman" w:cs="Times New Roman"/>
        </w:rPr>
        <w:t>).</w:t>
      </w:r>
      <w:r w:rsidRPr="00A26720">
        <w:rPr>
          <w:rFonts w:ascii="Times New Roman" w:hAnsi="Times New Roman" w:cs="Times New Roman"/>
        </w:rPr>
        <w:t xml:space="preserve"> Maximum 300 words </w:t>
      </w:r>
      <w:r>
        <w:rPr>
          <w:rFonts w:ascii="Times New Roman" w:hAnsi="Times New Roman" w:cs="Times New Roman"/>
        </w:rPr>
        <w:t>for each member</w:t>
      </w:r>
      <w:r w:rsidRPr="00A26720">
        <w:rPr>
          <w:rFonts w:ascii="Times New Roman" w:hAnsi="Times New Roman" w:cs="Times New Roman"/>
        </w:rPr>
        <w:t>.</w:t>
      </w:r>
      <w:r w:rsidR="004A2771">
        <w:rPr>
          <w:rFonts w:ascii="Times New Roman" w:hAnsi="Times New Roman" w:cs="Times New Roman"/>
        </w:rPr>
        <w:t xml:space="preserve"> Copy the template below.</w:t>
      </w:r>
    </w:p>
    <w:p ns2:paraId="58CF25E1" ns2:textId="28E61F1E" w:rsidR="00CB6796" w:rsidRPr="007B60D2" w:rsidRDefault="00CB6796" w:rsidP="00CB6796">
      <w:pPr>
        <w:rPr>
          <w:rFonts w:ascii="Times New Roman" w:hAnsi="Times New Roman" w:cs="Times New Roman"/>
        </w:rPr>
      </w:pPr>
      <w:r w:rsidRPr="007B60D2">
        <w:rPr>
          <w:rFonts w:ascii="Times New Roman" w:hAnsi="Times New Roman" w:cs="Times New Roman"/>
        </w:rPr>
        <w:lastRenderedPageBreak/>
        <w:t>QM no:</w:t>
      </w:r>
      <w:r w:rsidR="00061B22" w:rsidRPr="007B60D2">
        <w:rPr>
          <w:rFonts w:ascii="Times New Roman" w:hAnsi="Times New Roman" w:cs="Times New Roman"/>
        </w:rPr>
        <w:t xml:space="preserve"> </w:t>
      </w:r>
    </w:p>
    <w:p ns2:paraId="3A81150B" ns2:textId="1F449825" w:rsidR="00CB6796" w:rsidRPr="007B60D2" w:rsidRDefault="00CB6796" w:rsidP="00CB6796">
      <w:pPr>
        <w:rPr>
          <w:rFonts w:ascii="Times New Roman" w:hAnsi="Times New Roman" w:cs="Times New Roman"/>
        </w:rPr>
      </w:pPr>
      <w:r w:rsidRPr="007B60D2">
        <w:rPr>
          <w:rFonts w:ascii="Times New Roman" w:hAnsi="Times New Roman" w:cs="Times New Roman"/>
        </w:rPr>
        <w:t>Name:</w:t>
      </w:r>
      <w:r w:rsidR="00061B22" w:rsidRPr="007B60D2">
        <w:rPr>
          <w:rFonts w:ascii="Times New Roman" w:hAnsi="Times New Roman" w:cs="Times New Roman"/>
        </w:rPr>
        <w:t xml:space="preserve"> </w:t>
      </w:r>
    </w:p>
    <w:p ns2:paraId="45987478" ns2:textId="258D798B" w:rsidR="00CB6796" w:rsidRPr="007B60D2" w:rsidRDefault="00CB6796" w:rsidP="00CB6796">
      <w:pPr>
        <w:rPr>
          <w:rFonts w:ascii="Times New Roman" w:hAnsi="Times New Roman" w:cs="Times New Roman"/>
        </w:rPr>
      </w:pPr>
      <w:r w:rsidRPr="007B60D2">
        <w:rPr>
          <w:rFonts w:ascii="Times New Roman" w:hAnsi="Times New Roman" w:cs="Times New Roman"/>
        </w:rPr>
        <w:t>Main contribution:</w:t>
      </w:r>
      <w:r w:rsidR="00061B22" w:rsidRPr="007B60D2">
        <w:rPr>
          <w:rFonts w:ascii="Times New Roman" w:hAnsi="Times New Roman" w:cs="Times New Roman"/>
        </w:rPr>
        <w:t xml:space="preserve"> </w:t>
      </w:r>
    </w:p>
    <w:p ns2:paraId="6638CAD4" ns2:textId="3F7C8284" w:rsidR="00CB6796" w:rsidRPr="007B60D2" w:rsidRDefault="00CB6796" w:rsidP="00CB6796">
      <w:pPr>
        <w:rPr>
          <w:rFonts w:ascii="Times New Roman" w:hAnsi="Times New Roman" w:cs="Times New Roman"/>
        </w:rPr>
      </w:pPr>
      <w:r w:rsidRPr="007B60D2">
        <w:rPr>
          <w:rFonts w:ascii="Times New Roman" w:hAnsi="Times New Roman" w:cs="Times New Roman"/>
        </w:rPr>
        <w:t>Reflective statement:</w:t>
      </w:r>
      <w:r w:rsidR="00061B22" w:rsidRPr="007B60D2">
        <w:rPr>
          <w:rFonts w:ascii="Times New Roman" w:hAnsi="Times New Roman" w:cs="Times New Roman"/>
        </w:rPr>
        <w:t xml:space="preserve"> </w:t>
      </w:r>
    </w:p>
    <w:p ns2:paraId="058534DB" ns2:textId="0B2CE729" w:rsidR="004708F1" w:rsidRPr="007B60D2" w:rsidRDefault="004708F1" w:rsidP="004708F1">
      <w:pPr>
        <w:rPr>
          <w:rFonts w:ascii="Times New Roman" w:hAnsi="Times New Roman" w:cs="Times New Roman"/>
        </w:rPr>
      </w:pPr>
    </w:p>
    <w:p ns2:paraId="3779BCA1" ns2:textId="77777777" w:rsidR="004708F1" w:rsidRPr="007B60D2" w:rsidRDefault="004708F1" w:rsidP="00C10E54">
      <w:pPr>
        <w:rPr>
          <w:rFonts w:ascii="Times New Roman" w:hAnsi="Times New Roman" w:cs="Times New Roman"/>
        </w:rPr>
      </w:pPr>
    </w:p>
    <w:sectPr w:rsidR="004708F1" w:rsidRPr="007B60D2">
      <w:footerReference w:type="default" ns3: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E9A39" w14:textId="77777777" w:rsidR="00311F4A" w:rsidRDefault="00311F4A" w:rsidP="00E5080D">
      <w:pPr>
        <w:spacing w:after="0" w:line="240" w:lineRule="auto"/>
      </w:pPr>
      <w:r>
        <w:separator/>
      </w:r>
    </w:p>
  </w:endnote>
  <w:endnote w:type="continuationSeparator" w:id="0">
    <w:p w14:paraId="7494785E" w14:textId="77777777" w:rsidR="00311F4A" w:rsidRDefault="00311F4A" w:rsidP="00E508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75636"/>
      <w:docPartObj>
        <w:docPartGallery w:val="Page Numbers (Bottom of Page)"/>
        <w:docPartUnique/>
      </w:docPartObj>
    </w:sdtPr>
    <w:sdtContent>
      <w:sdt>
        <w:sdtPr>
          <w:id w:val="-1769616900"/>
          <w:docPartObj>
            <w:docPartGallery w:val="Page Numbers (Top of Page)"/>
            <w:docPartUnique/>
          </w:docPartObj>
        </w:sdtPr>
        <w:sdtContent>
          <w:p w14:paraId="2B938989" w14:textId="434D0FDD" w:rsidR="00E5080D" w:rsidRDefault="00E5080D">
            <w:pPr>
              <w:pStyle w:val="Footer"/>
              <w:jc w:val="right"/>
            </w:pPr>
            <w:r w:rsidRPr="007B60D2">
              <w:rPr>
                <w:rFonts w:ascii="Times New Roman" w:hAnsi="Times New Roman" w:cs="Times New Roman"/>
              </w:rPr>
              <w:t xml:space="preserve">Page </w:t>
            </w:r>
            <w:r w:rsidRPr="007B60D2">
              <w:rPr>
                <w:rFonts w:ascii="Times New Roman" w:hAnsi="Times New Roman" w:cs="Times New Roman"/>
                <w:b/>
                <w:bCs/>
              </w:rPr>
              <w:fldChar w:fldCharType="begin"/>
            </w:r>
            <w:r w:rsidRPr="007B60D2">
              <w:rPr>
                <w:rFonts w:ascii="Times New Roman" w:hAnsi="Times New Roman" w:cs="Times New Roman"/>
                <w:b/>
                <w:bCs/>
              </w:rPr>
              <w:instrText>PAGE</w:instrText>
            </w:r>
            <w:r w:rsidRPr="007B60D2">
              <w:rPr>
                <w:rFonts w:ascii="Times New Roman" w:hAnsi="Times New Roman" w:cs="Times New Roman"/>
                <w:b/>
                <w:bCs/>
              </w:rPr>
              <w:fldChar w:fldCharType="separate"/>
            </w:r>
            <w:r w:rsidRPr="007B60D2">
              <w:rPr>
                <w:rFonts w:ascii="Times New Roman" w:hAnsi="Times New Roman" w:cs="Times New Roman"/>
                <w:b/>
                <w:bCs/>
              </w:rPr>
              <w:t>2</w:t>
            </w:r>
            <w:r w:rsidRPr="007B60D2">
              <w:rPr>
                <w:rFonts w:ascii="Times New Roman" w:hAnsi="Times New Roman" w:cs="Times New Roman"/>
                <w:b/>
                <w:bCs/>
              </w:rPr>
              <w:fldChar w:fldCharType="end"/>
            </w:r>
            <w:r w:rsidRPr="007B60D2">
              <w:rPr>
                <w:rFonts w:ascii="Times New Roman" w:hAnsi="Times New Roman" w:cs="Times New Roman"/>
              </w:rPr>
              <w:t xml:space="preserve"> of </w:t>
            </w:r>
            <w:r w:rsidRPr="007B60D2">
              <w:rPr>
                <w:rFonts w:ascii="Times New Roman" w:hAnsi="Times New Roman" w:cs="Times New Roman"/>
                <w:b/>
                <w:bCs/>
              </w:rPr>
              <w:fldChar w:fldCharType="begin"/>
            </w:r>
            <w:r w:rsidRPr="007B60D2">
              <w:rPr>
                <w:rFonts w:ascii="Times New Roman" w:hAnsi="Times New Roman" w:cs="Times New Roman"/>
                <w:b/>
                <w:bCs/>
              </w:rPr>
              <w:instrText>NUMPAGES</w:instrText>
            </w:r>
            <w:r w:rsidRPr="007B60D2">
              <w:rPr>
                <w:rFonts w:ascii="Times New Roman" w:hAnsi="Times New Roman" w:cs="Times New Roman"/>
                <w:b/>
                <w:bCs/>
              </w:rPr>
              <w:fldChar w:fldCharType="separate"/>
            </w:r>
            <w:r w:rsidRPr="007B60D2">
              <w:rPr>
                <w:rFonts w:ascii="Times New Roman" w:hAnsi="Times New Roman" w:cs="Times New Roman"/>
                <w:b/>
                <w:bCs/>
              </w:rPr>
              <w:t>2</w:t>
            </w:r>
            <w:r w:rsidRPr="007B60D2">
              <w:rPr>
                <w:rFonts w:ascii="Times New Roman" w:hAnsi="Times New Roman" w:cs="Times New Roman"/>
                <w:b/>
                <w:bCs/>
              </w:rPr>
              <w:fldChar w:fldCharType="end"/>
            </w:r>
          </w:p>
        </w:sdtContent>
      </w:sdt>
    </w:sdtContent>
  </w:sdt>
  <w:p w14:paraId="3409752F" w14:textId="77777777" w:rsidR="00E5080D" w:rsidRDefault="00E508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75C05" w14:textId="77777777" w:rsidR="00311F4A" w:rsidRDefault="00311F4A" w:rsidP="00E5080D">
      <w:pPr>
        <w:spacing w:after="0" w:line="240" w:lineRule="auto"/>
      </w:pPr>
      <w:r>
        <w:separator/>
      </w:r>
    </w:p>
  </w:footnote>
  <w:footnote w:type="continuationSeparator" w:id="0">
    <w:p w14:paraId="2E52E13C" w14:textId="77777777" w:rsidR="00311F4A" w:rsidRDefault="00311F4A" w:rsidP="00E508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3F6021"/>
    <w:multiLevelType w:val="hybridMultilevel"/>
    <w:tmpl w:val="0A20AD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45015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EwtjA1NrM0NzA2MDZU0lEKTi0uzszPAykwqQUAOANWmSwAAAA="/>
  </w:docVars>
  <w:rsids>
    <w:rsidRoot w:val="00B77264"/>
    <w:rsid w:val="00026B4C"/>
    <w:rsid w:val="00061B22"/>
    <w:rsid w:val="000D0878"/>
    <w:rsid w:val="000E2AA3"/>
    <w:rsid w:val="000F7304"/>
    <w:rsid w:val="00150F22"/>
    <w:rsid w:val="001920C3"/>
    <w:rsid w:val="001B51E5"/>
    <w:rsid w:val="001F25CB"/>
    <w:rsid w:val="002061D3"/>
    <w:rsid w:val="00217672"/>
    <w:rsid w:val="002542C2"/>
    <w:rsid w:val="0027136F"/>
    <w:rsid w:val="00293707"/>
    <w:rsid w:val="002A430A"/>
    <w:rsid w:val="002A7F6C"/>
    <w:rsid w:val="002C4326"/>
    <w:rsid w:val="002E6029"/>
    <w:rsid w:val="002E7AE4"/>
    <w:rsid w:val="002F184C"/>
    <w:rsid w:val="00300EA4"/>
    <w:rsid w:val="00311F4A"/>
    <w:rsid w:val="00314FBF"/>
    <w:rsid w:val="003A4052"/>
    <w:rsid w:val="003F1B8D"/>
    <w:rsid w:val="00412CE0"/>
    <w:rsid w:val="004265EB"/>
    <w:rsid w:val="00441163"/>
    <w:rsid w:val="004708F1"/>
    <w:rsid w:val="00475F22"/>
    <w:rsid w:val="00477A17"/>
    <w:rsid w:val="00481A85"/>
    <w:rsid w:val="004A2771"/>
    <w:rsid w:val="004B3E22"/>
    <w:rsid w:val="004C7DA0"/>
    <w:rsid w:val="004D6AF0"/>
    <w:rsid w:val="004D75C6"/>
    <w:rsid w:val="005020E9"/>
    <w:rsid w:val="0054241D"/>
    <w:rsid w:val="005703E0"/>
    <w:rsid w:val="00571873"/>
    <w:rsid w:val="0058432C"/>
    <w:rsid w:val="005C16BF"/>
    <w:rsid w:val="005C59AF"/>
    <w:rsid w:val="005F0D55"/>
    <w:rsid w:val="0062222D"/>
    <w:rsid w:val="006235FC"/>
    <w:rsid w:val="0062598B"/>
    <w:rsid w:val="00686E20"/>
    <w:rsid w:val="006A4FDB"/>
    <w:rsid w:val="00760843"/>
    <w:rsid w:val="0078715E"/>
    <w:rsid w:val="007B60D2"/>
    <w:rsid w:val="007F26F1"/>
    <w:rsid w:val="00815ECC"/>
    <w:rsid w:val="0083294F"/>
    <w:rsid w:val="00850114"/>
    <w:rsid w:val="008655E3"/>
    <w:rsid w:val="00881E9C"/>
    <w:rsid w:val="00882DEA"/>
    <w:rsid w:val="00967759"/>
    <w:rsid w:val="00974A4C"/>
    <w:rsid w:val="00A11CA4"/>
    <w:rsid w:val="00A26720"/>
    <w:rsid w:val="00B1272E"/>
    <w:rsid w:val="00B338B5"/>
    <w:rsid w:val="00B3457D"/>
    <w:rsid w:val="00B621A9"/>
    <w:rsid w:val="00B77264"/>
    <w:rsid w:val="00B867D9"/>
    <w:rsid w:val="00BA1D51"/>
    <w:rsid w:val="00BC38A8"/>
    <w:rsid w:val="00BD7B1B"/>
    <w:rsid w:val="00BF0805"/>
    <w:rsid w:val="00C10E54"/>
    <w:rsid w:val="00C2335E"/>
    <w:rsid w:val="00C352F9"/>
    <w:rsid w:val="00C921D9"/>
    <w:rsid w:val="00CB5D6A"/>
    <w:rsid w:val="00CB6796"/>
    <w:rsid w:val="00CB6B5D"/>
    <w:rsid w:val="00CE3F11"/>
    <w:rsid w:val="00D374F6"/>
    <w:rsid w:val="00D44748"/>
    <w:rsid w:val="00D470B8"/>
    <w:rsid w:val="00D5581C"/>
    <w:rsid w:val="00D568A8"/>
    <w:rsid w:val="00D842F8"/>
    <w:rsid w:val="00DA2A7E"/>
    <w:rsid w:val="00DB1819"/>
    <w:rsid w:val="00DC6242"/>
    <w:rsid w:val="00DF135B"/>
    <w:rsid w:val="00E05871"/>
    <w:rsid w:val="00E24E29"/>
    <w:rsid w:val="00E5080D"/>
    <w:rsid w:val="00E765C6"/>
    <w:rsid w:val="00E9058C"/>
    <w:rsid w:val="00EA60CE"/>
    <w:rsid w:val="00EB6DF9"/>
    <w:rsid w:val="00ED2292"/>
    <w:rsid w:val="00EE3A44"/>
    <w:rsid w:val="00F0088C"/>
    <w:rsid w:val="00F25026"/>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33C10"/>
  <w15:chartTrackingRefBased/>
  <w15:docId w15:val="{C3B70D4D-6EE8-4F5E-9E86-89295BC3F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98B"/>
  </w:style>
  <w:style w:type="paragraph" w:styleId="Heading1">
    <w:name w:val="heading 1"/>
    <w:basedOn w:val="Normal"/>
    <w:next w:val="Normal"/>
    <w:link w:val="Heading1Char"/>
    <w:uiPriority w:val="9"/>
    <w:qFormat/>
    <w:rsid w:val="00B772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72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72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72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72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72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2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2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2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2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72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72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72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72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72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2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2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264"/>
    <w:rPr>
      <w:rFonts w:eastAsiaTheme="majorEastAsia" w:cstheme="majorBidi"/>
      <w:color w:val="272727" w:themeColor="text1" w:themeTint="D8"/>
    </w:rPr>
  </w:style>
  <w:style w:type="paragraph" w:styleId="Title">
    <w:name w:val="Title"/>
    <w:basedOn w:val="Normal"/>
    <w:next w:val="Normal"/>
    <w:link w:val="TitleChar"/>
    <w:uiPriority w:val="10"/>
    <w:qFormat/>
    <w:rsid w:val="00B77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2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2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2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264"/>
    <w:pPr>
      <w:spacing w:before="160"/>
      <w:jc w:val="center"/>
    </w:pPr>
    <w:rPr>
      <w:i/>
      <w:iCs/>
      <w:color w:val="404040" w:themeColor="text1" w:themeTint="BF"/>
    </w:rPr>
  </w:style>
  <w:style w:type="character" w:customStyle="1" w:styleId="QuoteChar">
    <w:name w:val="Quote Char"/>
    <w:basedOn w:val="DefaultParagraphFont"/>
    <w:link w:val="Quote"/>
    <w:uiPriority w:val="29"/>
    <w:rsid w:val="00B77264"/>
    <w:rPr>
      <w:i/>
      <w:iCs/>
      <w:color w:val="404040" w:themeColor="text1" w:themeTint="BF"/>
    </w:rPr>
  </w:style>
  <w:style w:type="paragraph" w:styleId="ListParagraph">
    <w:name w:val="List Paragraph"/>
    <w:basedOn w:val="Normal"/>
    <w:uiPriority w:val="34"/>
    <w:qFormat/>
    <w:rsid w:val="00B77264"/>
    <w:pPr>
      <w:ind w:left="720"/>
      <w:contextualSpacing/>
    </w:pPr>
  </w:style>
  <w:style w:type="character" w:styleId="IntenseEmphasis">
    <w:name w:val="Intense Emphasis"/>
    <w:basedOn w:val="DefaultParagraphFont"/>
    <w:uiPriority w:val="21"/>
    <w:qFormat/>
    <w:rsid w:val="00B77264"/>
    <w:rPr>
      <w:i/>
      <w:iCs/>
      <w:color w:val="0F4761" w:themeColor="accent1" w:themeShade="BF"/>
    </w:rPr>
  </w:style>
  <w:style w:type="paragraph" w:styleId="IntenseQuote">
    <w:name w:val="Intense Quote"/>
    <w:basedOn w:val="Normal"/>
    <w:next w:val="Normal"/>
    <w:link w:val="IntenseQuoteChar"/>
    <w:uiPriority w:val="30"/>
    <w:qFormat/>
    <w:rsid w:val="00B77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7264"/>
    <w:rPr>
      <w:i/>
      <w:iCs/>
      <w:color w:val="0F4761" w:themeColor="accent1" w:themeShade="BF"/>
    </w:rPr>
  </w:style>
  <w:style w:type="character" w:styleId="IntenseReference">
    <w:name w:val="Intense Reference"/>
    <w:basedOn w:val="DefaultParagraphFont"/>
    <w:uiPriority w:val="32"/>
    <w:qFormat/>
    <w:rsid w:val="00B77264"/>
    <w:rPr>
      <w:b/>
      <w:bCs/>
      <w:smallCaps/>
      <w:color w:val="0F4761" w:themeColor="accent1" w:themeShade="BF"/>
      <w:spacing w:val="5"/>
    </w:rPr>
  </w:style>
  <w:style w:type="table" w:styleId="TableGrid">
    <w:name w:val="Table Grid"/>
    <w:basedOn w:val="TableNormal"/>
    <w:uiPriority w:val="39"/>
    <w:rsid w:val="00C352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08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080D"/>
  </w:style>
  <w:style w:type="paragraph" w:styleId="Footer">
    <w:name w:val="footer"/>
    <w:basedOn w:val="Normal"/>
    <w:link w:val="FooterChar"/>
    <w:uiPriority w:val="99"/>
    <w:unhideWhenUsed/>
    <w:rsid w:val="00E508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08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232</Words>
  <Characters>1325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 Ma</dc:creator>
  <cp:keywords/>
  <dc:description/>
  <cp:lastModifiedBy>Ling Ma</cp:lastModifiedBy>
  <cp:revision>102</cp:revision>
  <dcterms:created xsi:type="dcterms:W3CDTF">2024-03-13T21:22:00Z</dcterms:created>
  <dcterms:modified xsi:type="dcterms:W3CDTF">2026-05-07T20:09:00Z</dcterms:modified>
</cp:coreProperties>
</file>